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99" w:rsidRDefault="00E706C5" w:rsidP="00E706C5">
      <w:pPr>
        <w:pStyle w:val="NoSpacing"/>
      </w:pPr>
      <w:r>
        <w:t>Monimuuttujamenetelmistä rakenneyhtälömallinnukseen</w:t>
      </w:r>
    </w:p>
    <w:p w:rsidR="00E706C5" w:rsidRDefault="00E706C5" w:rsidP="00E706C5">
      <w:pPr>
        <w:pStyle w:val="NoSpacing"/>
      </w:pPr>
      <w:r>
        <w:t>Tentti 8.12.2017</w:t>
      </w:r>
    </w:p>
    <w:p w:rsidR="00E706C5" w:rsidRDefault="00E706C5" w:rsidP="00E706C5">
      <w:pPr>
        <w:pStyle w:val="NoSpacing"/>
      </w:pPr>
      <w:r>
        <w:t xml:space="preserve">Annika </w:t>
      </w:r>
      <w:proofErr w:type="spellStart"/>
      <w:r>
        <w:t>Alervo</w:t>
      </w:r>
      <w:proofErr w:type="spellEnd"/>
      <w:r>
        <w:t xml:space="preserve"> 013149932</w:t>
      </w:r>
    </w:p>
    <w:p w:rsidR="00E706C5" w:rsidRDefault="00E706C5" w:rsidP="00E706C5">
      <w:pPr>
        <w:pStyle w:val="NoSpacing"/>
      </w:pPr>
    </w:p>
    <w:p w:rsidR="001043E8" w:rsidRDefault="001043E8" w:rsidP="001043E8">
      <w:pPr>
        <w:rPr>
          <w:sz w:val="36"/>
          <w:szCs w:val="36"/>
        </w:rPr>
      </w:pPr>
    </w:p>
    <w:p w:rsidR="00E706C5" w:rsidRPr="001043E8" w:rsidRDefault="00E706C5" w:rsidP="001043E8">
      <w:pPr>
        <w:rPr>
          <w:b/>
          <w:sz w:val="36"/>
          <w:szCs w:val="36"/>
        </w:rPr>
      </w:pPr>
      <w:r w:rsidRPr="001043E8">
        <w:rPr>
          <w:b/>
          <w:sz w:val="36"/>
          <w:szCs w:val="36"/>
        </w:rPr>
        <w:t>TEHTÄVÄ 1</w:t>
      </w:r>
    </w:p>
    <w:p w:rsidR="00E706C5" w:rsidRDefault="00E706C5" w:rsidP="00E706C5">
      <w:pPr>
        <w:pStyle w:val="NoSpacing"/>
      </w:pPr>
    </w:p>
    <w:p w:rsidR="007B1FBE" w:rsidRPr="00EC4BA6" w:rsidRDefault="007B1FBE" w:rsidP="001043E8">
      <w:pPr>
        <w:pStyle w:val="NoSpacing"/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>a</w:t>
      </w:r>
      <w:r w:rsidR="007F7271" w:rsidRPr="00EC4BA6">
        <w:rPr>
          <w:rFonts w:ascii="Arial" w:hAnsi="Arial" w:cs="Arial"/>
          <w:b/>
          <w:sz w:val="24"/>
          <w:szCs w:val="24"/>
        </w:rPr>
        <w:t xml:space="preserve">) </w:t>
      </w:r>
      <w:r w:rsidR="00D706A1">
        <w:rPr>
          <w:rFonts w:ascii="Arial" w:hAnsi="Arial" w:cs="Arial"/>
          <w:b/>
          <w:sz w:val="24"/>
          <w:szCs w:val="24"/>
        </w:rPr>
        <w:t>Luodaan summamuuttujat:</w:t>
      </w:r>
    </w:p>
    <w:p w:rsidR="007B1FBE" w:rsidRDefault="007B1FBE" w:rsidP="007B1FBE">
      <w:pPr>
        <w:pStyle w:val="NoSpacing"/>
        <w:ind w:left="360"/>
      </w:pP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COMPUTE </w:t>
      </w:r>
      <w:proofErr w:type="spell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SUMmetak</w:t>
      </w:r>
      <w:proofErr w:type="spell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MEAN(</w:t>
      </w:r>
      <w:proofErr w:type="gram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TSTOAHD1,TSTOAHD2,TSTOAHD3).</w:t>
      </w: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EXECUTE.</w:t>
      </w: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COMPUTE </w:t>
      </w:r>
      <w:proofErr w:type="spell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SUMtilastoepäv</w:t>
      </w:r>
      <w:proofErr w:type="spell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MEAN(</w:t>
      </w:r>
      <w:proofErr w:type="gram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TSTOEPAV1,TSTOEPAV2,TSTOEPAV3).</w:t>
      </w: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EXECUTE.</w:t>
      </w: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COMPUTE </w:t>
      </w:r>
      <w:proofErr w:type="spell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SUMtilastoahd</w:t>
      </w:r>
      <w:proofErr w:type="spell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MEAN(</w:t>
      </w:r>
      <w:proofErr w:type="gramEnd"/>
      <w:r w:rsidRPr="00E706C5">
        <w:rPr>
          <w:rFonts w:ascii="Courier New" w:hAnsi="Courier New" w:cs="Courier New"/>
          <w:color w:val="000000"/>
          <w:sz w:val="20"/>
          <w:szCs w:val="20"/>
          <w:lang w:val="en-US"/>
        </w:rPr>
        <w:t>TSTOAHD1,TSTOAHD2,TSTOAHD3).</w:t>
      </w:r>
    </w:p>
    <w:p w:rsidR="007B1FBE" w:rsidRPr="00E706C5" w:rsidRDefault="007B1FBE" w:rsidP="007B1F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706C5">
        <w:rPr>
          <w:rFonts w:ascii="Courier New" w:hAnsi="Courier New" w:cs="Courier New"/>
          <w:color w:val="000000"/>
          <w:sz w:val="20"/>
          <w:szCs w:val="20"/>
        </w:rPr>
        <w:t>EXECUTE.</w:t>
      </w:r>
    </w:p>
    <w:p w:rsidR="007B1FBE" w:rsidRDefault="007B1FBE" w:rsidP="007B1FBE">
      <w:pPr>
        <w:pStyle w:val="NoSpacing"/>
        <w:ind w:left="360"/>
      </w:pPr>
    </w:p>
    <w:p w:rsidR="007B1FBE" w:rsidRDefault="007B1FBE" w:rsidP="007B1FBE">
      <w:pPr>
        <w:pStyle w:val="NoSpacing"/>
        <w:ind w:left="360"/>
      </w:pPr>
    </w:p>
    <w:p w:rsidR="00E706C5" w:rsidRPr="00EC4BA6" w:rsidRDefault="007B1FBE" w:rsidP="007B1FBE">
      <w:pPr>
        <w:pStyle w:val="NoSpacing"/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 xml:space="preserve">b) </w:t>
      </w:r>
      <w:r w:rsidR="001043E8" w:rsidRPr="00EC4BA6">
        <w:rPr>
          <w:rFonts w:ascii="Arial" w:hAnsi="Arial" w:cs="Arial"/>
          <w:b/>
          <w:sz w:val="24"/>
          <w:szCs w:val="24"/>
        </w:rPr>
        <w:t>Tutkitaan</w:t>
      </w:r>
      <w:r w:rsidR="00E706C5" w:rsidRPr="00EC4BA6">
        <w:rPr>
          <w:rFonts w:ascii="Arial" w:hAnsi="Arial" w:cs="Arial"/>
          <w:b/>
          <w:sz w:val="24"/>
          <w:szCs w:val="24"/>
        </w:rPr>
        <w:t xml:space="preserve"> </w:t>
      </w:r>
      <w:r w:rsidRPr="00EC4BA6">
        <w:rPr>
          <w:rFonts w:ascii="Arial" w:hAnsi="Arial" w:cs="Arial"/>
          <w:b/>
          <w:sz w:val="24"/>
          <w:szCs w:val="24"/>
        </w:rPr>
        <w:t>summamuuttujien</w:t>
      </w:r>
      <w:r w:rsidR="00E706C5" w:rsidRPr="00EC4BA6">
        <w:rPr>
          <w:rFonts w:ascii="Arial" w:hAnsi="Arial" w:cs="Arial"/>
          <w:b/>
          <w:sz w:val="24"/>
          <w:szCs w:val="24"/>
        </w:rPr>
        <w:t xml:space="preserve"> </w:t>
      </w:r>
      <w:r w:rsidRPr="00EC4BA6">
        <w:rPr>
          <w:rFonts w:ascii="Arial" w:hAnsi="Arial" w:cs="Arial"/>
          <w:b/>
          <w:sz w:val="24"/>
          <w:szCs w:val="24"/>
        </w:rPr>
        <w:t xml:space="preserve">reliabiliteettia tarkastelemalla </w:t>
      </w:r>
      <w:r w:rsidR="00E706C5" w:rsidRPr="00EC4BA6">
        <w:rPr>
          <w:rFonts w:ascii="Arial" w:hAnsi="Arial" w:cs="Arial"/>
          <w:b/>
          <w:sz w:val="24"/>
          <w:szCs w:val="24"/>
        </w:rPr>
        <w:t>Cronbachin Alpha</w:t>
      </w:r>
      <w:r w:rsidRPr="00EC4BA6">
        <w:rPr>
          <w:rFonts w:ascii="Arial" w:hAnsi="Arial" w:cs="Arial"/>
          <w:b/>
          <w:sz w:val="24"/>
          <w:szCs w:val="24"/>
        </w:rPr>
        <w:t>a</w:t>
      </w:r>
      <w:r w:rsidR="00E706C5" w:rsidRPr="00EC4BA6">
        <w:rPr>
          <w:rFonts w:ascii="Arial" w:hAnsi="Arial" w:cs="Arial"/>
          <w:b/>
          <w:sz w:val="24"/>
          <w:szCs w:val="24"/>
        </w:rPr>
        <w:t xml:space="preserve"> ja </w:t>
      </w:r>
      <w:r w:rsidRPr="00EC4BA6">
        <w:rPr>
          <w:rFonts w:ascii="Arial" w:hAnsi="Arial" w:cs="Arial"/>
          <w:b/>
          <w:sz w:val="24"/>
          <w:szCs w:val="24"/>
        </w:rPr>
        <w:t xml:space="preserve">myös </w:t>
      </w:r>
      <w:r w:rsidR="00E706C5" w:rsidRPr="00EC4BA6">
        <w:rPr>
          <w:rFonts w:ascii="Arial" w:hAnsi="Arial" w:cs="Arial"/>
          <w:b/>
          <w:sz w:val="24"/>
          <w:szCs w:val="24"/>
        </w:rPr>
        <w:t xml:space="preserve">mikä se olisi, jos jokin kysymys jätettäisiin summamuuttujasta pois. </w:t>
      </w:r>
    </w:p>
    <w:p w:rsidR="00E706C5" w:rsidRPr="00EC4BA6" w:rsidRDefault="00E706C5" w:rsidP="00E706C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706C5" w:rsidRPr="00EC4BA6" w:rsidRDefault="00E706C5" w:rsidP="001043E8">
      <w:pPr>
        <w:pStyle w:val="NoSpacing"/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Metakognitiiviset strategiat </w:t>
      </w:r>
      <w:proofErr w:type="gramStart"/>
      <w:r w:rsidRPr="00EC4BA6">
        <w:rPr>
          <w:rFonts w:ascii="Arial" w:hAnsi="Arial" w:cs="Arial"/>
          <w:sz w:val="24"/>
          <w:szCs w:val="24"/>
        </w:rPr>
        <w:t>–</w:t>
      </w:r>
      <w:r w:rsidR="007B1FBE" w:rsidRPr="00EC4BA6">
        <w:rPr>
          <w:rFonts w:ascii="Arial" w:hAnsi="Arial" w:cs="Arial"/>
          <w:sz w:val="24"/>
          <w:szCs w:val="24"/>
        </w:rPr>
        <w:t>summamuuttuja</w:t>
      </w:r>
      <w:proofErr w:type="gramEnd"/>
      <w:r w:rsidR="007B1FBE" w:rsidRPr="00EC4BA6">
        <w:rPr>
          <w:rFonts w:ascii="Arial" w:hAnsi="Arial" w:cs="Arial"/>
          <w:sz w:val="24"/>
          <w:szCs w:val="24"/>
        </w:rPr>
        <w:t xml:space="preserve">, Cronbachin </w:t>
      </w:r>
      <w:proofErr w:type="spellStart"/>
      <w:r w:rsidR="007B1FBE" w:rsidRPr="00EC4BA6">
        <w:rPr>
          <w:rFonts w:ascii="Arial" w:hAnsi="Arial" w:cs="Arial"/>
          <w:sz w:val="24"/>
          <w:szCs w:val="24"/>
        </w:rPr>
        <w:t>Apha</w:t>
      </w:r>
      <w:proofErr w:type="spellEnd"/>
      <w:r w:rsidR="007B1FBE" w:rsidRPr="00EC4BA6">
        <w:rPr>
          <w:rFonts w:ascii="Arial" w:hAnsi="Arial" w:cs="Arial"/>
          <w:sz w:val="24"/>
          <w:szCs w:val="24"/>
        </w:rPr>
        <w:t xml:space="preserve"> ,844:</w:t>
      </w:r>
    </w:p>
    <w:p w:rsidR="001043E8" w:rsidRDefault="001043E8" w:rsidP="001043E8">
      <w:pPr>
        <w:pStyle w:val="NoSpacing"/>
      </w:pPr>
    </w:p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706C5" w:rsidRPr="00E706C5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Reliability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N of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,844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</w:tbl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75"/>
        <w:gridCol w:w="1476"/>
        <w:gridCol w:w="1476"/>
        <w:gridCol w:w="1476"/>
      </w:tblGrid>
      <w:tr w:rsidR="00E706C5" w:rsidRPr="00E706C5">
        <w:trPr>
          <w:cantSplit/>
        </w:trPr>
        <w:tc>
          <w:tcPr>
            <w:tcW w:w="7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4B0476">
        <w:trPr>
          <w:cantSplit/>
        </w:trPr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E706C5" w:rsidRPr="00E706C5">
        <w:trPr>
          <w:cantSplit/>
        </w:trPr>
        <w:tc>
          <w:tcPr>
            <w:tcW w:w="1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METAKOG1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7,5000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4,852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,614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,872</w:t>
            </w:r>
          </w:p>
        </w:tc>
      </w:tr>
      <w:tr w:rsidR="00E706C5" w:rsidRPr="00E706C5">
        <w:trPr>
          <w:cantSplit/>
        </w:trPr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METAKOG2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7,7143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3,323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,688</w:t>
            </w:r>
          </w:p>
        </w:tc>
      </w:tr>
      <w:tr w:rsidR="00E706C5" w:rsidRPr="00E706C5">
        <w:trPr>
          <w:cantSplit/>
        </w:trPr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METAKOG3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7,5000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3,667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,743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,750</w:t>
            </w:r>
          </w:p>
        </w:tc>
      </w:tr>
    </w:tbl>
    <w:p w:rsidR="00E706C5" w:rsidRPr="00E706C5" w:rsidRDefault="00E706C5" w:rsidP="00E706C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C5" w:rsidRDefault="00E706C5" w:rsidP="00E706C5">
      <w:pPr>
        <w:pStyle w:val="NoSpacing"/>
        <w:ind w:left="720"/>
      </w:pPr>
    </w:p>
    <w:p w:rsidR="00E706C5" w:rsidRPr="00EC4BA6" w:rsidRDefault="00E706C5" w:rsidP="007B1FBE">
      <w:pPr>
        <w:pStyle w:val="NoSpacing"/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>Tilastoepävarmuus-summamuuttuja</w:t>
      </w:r>
      <w:r w:rsidR="007B1FBE" w:rsidRPr="00EC4BA6">
        <w:rPr>
          <w:rFonts w:ascii="Arial" w:hAnsi="Arial" w:cs="Arial"/>
          <w:sz w:val="24"/>
          <w:szCs w:val="24"/>
        </w:rPr>
        <w:t xml:space="preserve">, Cronbachin </w:t>
      </w:r>
      <w:proofErr w:type="spellStart"/>
      <w:proofErr w:type="gramStart"/>
      <w:r w:rsidR="007B1FBE" w:rsidRPr="00EC4BA6">
        <w:rPr>
          <w:rFonts w:ascii="Arial" w:hAnsi="Arial" w:cs="Arial"/>
          <w:sz w:val="24"/>
          <w:szCs w:val="24"/>
        </w:rPr>
        <w:t>Apha</w:t>
      </w:r>
      <w:proofErr w:type="spellEnd"/>
      <w:r w:rsidR="007B1FBE" w:rsidRPr="00EC4BA6">
        <w:rPr>
          <w:rFonts w:ascii="Arial" w:hAnsi="Arial" w:cs="Arial"/>
          <w:sz w:val="24"/>
          <w:szCs w:val="24"/>
        </w:rPr>
        <w:t xml:space="preserve"> ,</w:t>
      </w:r>
      <w:proofErr w:type="gramEnd"/>
      <w:r w:rsidR="007B1FBE" w:rsidRPr="00EC4BA6">
        <w:rPr>
          <w:rFonts w:ascii="Arial" w:hAnsi="Arial" w:cs="Arial"/>
          <w:sz w:val="24"/>
          <w:szCs w:val="24"/>
        </w:rPr>
        <w:t>831</w:t>
      </w:r>
      <w:r w:rsidRPr="00EC4BA6">
        <w:rPr>
          <w:rFonts w:ascii="Arial" w:hAnsi="Arial" w:cs="Arial"/>
          <w:sz w:val="24"/>
          <w:szCs w:val="24"/>
        </w:rPr>
        <w:t>:</w:t>
      </w:r>
    </w:p>
    <w:p w:rsidR="00E706C5" w:rsidRDefault="00E706C5" w:rsidP="00E706C5">
      <w:pPr>
        <w:pStyle w:val="NoSpacing"/>
        <w:ind w:left="720"/>
      </w:pPr>
    </w:p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706C5" w:rsidRPr="00E706C5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Reliability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N of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,831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</w:tbl>
    <w:p w:rsidR="00E706C5" w:rsidRPr="00E706C5" w:rsidRDefault="00E706C5" w:rsidP="00E706C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475"/>
        <w:gridCol w:w="1476"/>
        <w:gridCol w:w="1476"/>
        <w:gridCol w:w="1476"/>
      </w:tblGrid>
      <w:tr w:rsidR="00E706C5" w:rsidRPr="00E706C5">
        <w:trPr>
          <w:cantSplit/>
        </w:trPr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4B0476">
        <w:trPr>
          <w:cantSplit/>
        </w:trPr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E706C5" w:rsidRPr="00E706C5">
        <w:trPr>
          <w:cantSplit/>
        </w:trPr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TSTOEPAV1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5,5714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6,032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,618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,835</w:t>
            </w:r>
          </w:p>
        </w:tc>
      </w:tr>
      <w:tr w:rsidR="00E706C5" w:rsidRPr="00E706C5">
        <w:trPr>
          <w:cantSplit/>
        </w:trPr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TSTOEPAV2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4,9286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4,958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,674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,785</w:t>
            </w:r>
          </w:p>
        </w:tc>
      </w:tr>
      <w:tr w:rsidR="00E706C5" w:rsidRPr="00E706C5">
        <w:trPr>
          <w:cantSplit/>
        </w:trPr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TSTOEPAV3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5,3571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4,534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,796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,653</w:t>
            </w:r>
          </w:p>
        </w:tc>
      </w:tr>
    </w:tbl>
    <w:p w:rsidR="00E706C5" w:rsidRPr="00E706C5" w:rsidRDefault="00E706C5" w:rsidP="00E706C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C5" w:rsidRDefault="00E706C5" w:rsidP="00E706C5">
      <w:pPr>
        <w:pStyle w:val="NoSpacing"/>
        <w:ind w:left="720"/>
      </w:pPr>
    </w:p>
    <w:p w:rsidR="00E706C5" w:rsidRPr="00EC4BA6" w:rsidRDefault="00E706C5" w:rsidP="007B1FBE">
      <w:pPr>
        <w:pStyle w:val="NoSpacing"/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Tilastoahdistus </w:t>
      </w:r>
      <w:proofErr w:type="gramStart"/>
      <w:r w:rsidRPr="00EC4BA6">
        <w:rPr>
          <w:rFonts w:ascii="Arial" w:hAnsi="Arial" w:cs="Arial"/>
          <w:sz w:val="24"/>
          <w:szCs w:val="24"/>
        </w:rPr>
        <w:t>–summamuuttuja</w:t>
      </w:r>
      <w:proofErr w:type="gramEnd"/>
      <w:r w:rsidR="007B1FBE" w:rsidRPr="00EC4BA6">
        <w:rPr>
          <w:rFonts w:ascii="Arial" w:hAnsi="Arial" w:cs="Arial"/>
          <w:sz w:val="24"/>
          <w:szCs w:val="24"/>
        </w:rPr>
        <w:t xml:space="preserve">, Cronbachin </w:t>
      </w:r>
      <w:proofErr w:type="spellStart"/>
      <w:r w:rsidR="007B1FBE" w:rsidRPr="00EC4BA6">
        <w:rPr>
          <w:rFonts w:ascii="Arial" w:hAnsi="Arial" w:cs="Arial"/>
          <w:sz w:val="24"/>
          <w:szCs w:val="24"/>
        </w:rPr>
        <w:t>Apha</w:t>
      </w:r>
      <w:proofErr w:type="spellEnd"/>
      <w:r w:rsidR="007B1FBE" w:rsidRPr="00EC4BA6">
        <w:rPr>
          <w:rFonts w:ascii="Arial" w:hAnsi="Arial" w:cs="Arial"/>
          <w:sz w:val="24"/>
          <w:szCs w:val="24"/>
        </w:rPr>
        <w:t xml:space="preserve"> ,938</w:t>
      </w:r>
      <w:r w:rsidRPr="00EC4BA6">
        <w:rPr>
          <w:rFonts w:ascii="Arial" w:hAnsi="Arial" w:cs="Arial"/>
          <w:sz w:val="24"/>
          <w:szCs w:val="24"/>
        </w:rPr>
        <w:t>:</w:t>
      </w:r>
    </w:p>
    <w:p w:rsidR="00E706C5" w:rsidRDefault="00E706C5" w:rsidP="00E706C5">
      <w:pPr>
        <w:pStyle w:val="NoSpacing"/>
        <w:ind w:left="720"/>
      </w:pPr>
    </w:p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706C5" w:rsidRPr="00E706C5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Reliability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N of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Items</w:t>
            </w:r>
            <w:proofErr w:type="spellEnd"/>
          </w:p>
        </w:tc>
      </w:tr>
      <w:tr w:rsidR="00E706C5" w:rsidRPr="00E706C5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,938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</w:tbl>
    <w:p w:rsidR="00E706C5" w:rsidRPr="00E706C5" w:rsidRDefault="00E706C5" w:rsidP="00E706C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C5" w:rsidRPr="00E706C5" w:rsidRDefault="00E706C5" w:rsidP="00E70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5"/>
        <w:gridCol w:w="1476"/>
        <w:gridCol w:w="1476"/>
        <w:gridCol w:w="1476"/>
      </w:tblGrid>
      <w:tr w:rsidR="00E706C5" w:rsidRPr="00E706C5">
        <w:trPr>
          <w:cantSplit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E706C5">
              <w:rPr>
                <w:rFonts w:ascii="Arial" w:hAnsi="Arial" w:cs="Arial"/>
                <w:b/>
                <w:bCs/>
                <w:color w:val="010205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E706C5" w:rsidRPr="004B0476">
        <w:trPr>
          <w:cantSplit/>
        </w:trPr>
        <w:tc>
          <w:tcPr>
            <w:tcW w:w="12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 xml:space="preserve">-Total </w:t>
            </w:r>
            <w:proofErr w:type="spellStart"/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E706C5" w:rsidRPr="00E706C5">
        <w:trPr>
          <w:cantSplit/>
        </w:trPr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TSTOAHD1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6,1429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7,831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,892</w:t>
            </w:r>
          </w:p>
        </w:tc>
      </w:tr>
      <w:tr w:rsidR="00E706C5" w:rsidRPr="00E706C5">
        <w:trPr>
          <w:cantSplit/>
        </w:trPr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TSTOAHD2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6,2857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8,508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,935</w:t>
            </w:r>
          </w:p>
        </w:tc>
      </w:tr>
      <w:tr w:rsidR="00E706C5" w:rsidRPr="00E706C5">
        <w:trPr>
          <w:cantSplit/>
        </w:trPr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264A60"/>
                <w:sz w:val="18"/>
                <w:szCs w:val="18"/>
              </w:rPr>
              <w:t>TSTOAHD3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6,7143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7,026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706C5" w:rsidRPr="00E706C5" w:rsidRDefault="00E706C5" w:rsidP="00E706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C5">
              <w:rPr>
                <w:rFonts w:ascii="Arial" w:hAnsi="Arial" w:cs="Arial"/>
                <w:color w:val="010205"/>
                <w:sz w:val="18"/>
                <w:szCs w:val="18"/>
              </w:rPr>
              <w:t>,898</w:t>
            </w:r>
          </w:p>
        </w:tc>
      </w:tr>
    </w:tbl>
    <w:p w:rsidR="00E706C5" w:rsidRDefault="00E706C5" w:rsidP="00E706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706C5" w:rsidRDefault="00E706C5" w:rsidP="00E706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706C5" w:rsidRPr="00EC4BA6" w:rsidRDefault="00E706C5" w:rsidP="00942E90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>Havaitaan, että</w:t>
      </w:r>
      <w:r w:rsidR="007B1FBE" w:rsidRPr="00EC4BA6">
        <w:rPr>
          <w:rFonts w:ascii="Arial" w:hAnsi="Arial" w:cs="Arial"/>
          <w:sz w:val="24"/>
          <w:szCs w:val="24"/>
        </w:rPr>
        <w:t xml:space="preserve"> kaikkien summamuuttujien Cronbachin </w:t>
      </w:r>
      <w:proofErr w:type="spellStart"/>
      <w:r w:rsidR="007B1FBE" w:rsidRPr="00EC4BA6">
        <w:rPr>
          <w:rFonts w:ascii="Arial" w:hAnsi="Arial" w:cs="Arial"/>
          <w:sz w:val="24"/>
          <w:szCs w:val="24"/>
        </w:rPr>
        <w:t>Apha</w:t>
      </w:r>
      <w:proofErr w:type="spellEnd"/>
      <w:r w:rsidR="007B1FBE" w:rsidRPr="00EC4BA6">
        <w:rPr>
          <w:rFonts w:ascii="Arial" w:hAnsi="Arial" w:cs="Arial"/>
          <w:sz w:val="24"/>
          <w:szCs w:val="24"/>
        </w:rPr>
        <w:t xml:space="preserve"> on </w:t>
      </w:r>
      <w:proofErr w:type="gramStart"/>
      <w:r w:rsidR="007B1FBE" w:rsidRPr="00EC4BA6">
        <w:rPr>
          <w:rFonts w:ascii="Arial" w:hAnsi="Arial" w:cs="Arial"/>
          <w:sz w:val="24"/>
          <w:szCs w:val="24"/>
        </w:rPr>
        <w:t>&gt;,60</w:t>
      </w:r>
      <w:proofErr w:type="gramEnd"/>
      <w:r w:rsidR="007B1FBE" w:rsidRPr="00EC4BA6">
        <w:rPr>
          <w:rFonts w:ascii="Arial" w:hAnsi="Arial" w:cs="Arial"/>
          <w:sz w:val="24"/>
          <w:szCs w:val="24"/>
        </w:rPr>
        <w:t xml:space="preserve"> eli summamuuttujia voidaan pitää luotettavina. S</w:t>
      </w:r>
      <w:r w:rsidRPr="00EC4BA6">
        <w:rPr>
          <w:rFonts w:ascii="Arial" w:hAnsi="Arial" w:cs="Arial"/>
          <w:sz w:val="24"/>
          <w:szCs w:val="24"/>
        </w:rPr>
        <w:t xml:space="preserve">ummamuuttujassa Cronbachin Alpha ei oleellisesti muutu kysymyksiä pois jättämällä, joten </w:t>
      </w:r>
      <w:r w:rsidR="001043E8" w:rsidRPr="00EC4BA6">
        <w:rPr>
          <w:rFonts w:ascii="Arial" w:hAnsi="Arial" w:cs="Arial"/>
          <w:sz w:val="24"/>
          <w:szCs w:val="24"/>
        </w:rPr>
        <w:t>kyseiset summamuuttujat voidaan säilyttää mukana tutkimuksessa sellaisenaan:</w:t>
      </w:r>
    </w:p>
    <w:p w:rsidR="007B1FBE" w:rsidRPr="00EC4BA6" w:rsidRDefault="007B1FBE" w:rsidP="00942E90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Tarkastellaan vielä summamuuttujien normaaliutta </w:t>
      </w:r>
      <w:proofErr w:type="spellStart"/>
      <w:r w:rsidRPr="00EC4BA6">
        <w:rPr>
          <w:rFonts w:ascii="Arial" w:hAnsi="Arial" w:cs="Arial"/>
          <w:sz w:val="24"/>
          <w:szCs w:val="24"/>
        </w:rPr>
        <w:t>Kolmogorov</w:t>
      </w:r>
      <w:proofErr w:type="spellEnd"/>
      <w:r w:rsidRPr="00EC4BA6">
        <w:rPr>
          <w:rFonts w:ascii="Arial" w:hAnsi="Arial" w:cs="Arial"/>
          <w:sz w:val="24"/>
          <w:szCs w:val="24"/>
        </w:rPr>
        <w:t>-</w:t>
      </w:r>
      <w:proofErr w:type="spellStart"/>
      <w:r w:rsidRPr="00EC4BA6">
        <w:rPr>
          <w:rFonts w:ascii="Arial" w:hAnsi="Arial" w:cs="Arial"/>
          <w:sz w:val="24"/>
          <w:szCs w:val="24"/>
        </w:rPr>
        <w:t>Smirnov</w:t>
      </w:r>
      <w:proofErr w:type="spellEnd"/>
      <w:r w:rsidRPr="00EC4BA6">
        <w:rPr>
          <w:rFonts w:ascii="Arial" w:hAnsi="Arial" w:cs="Arial"/>
          <w:sz w:val="24"/>
          <w:szCs w:val="24"/>
        </w:rPr>
        <w:t>-testillä:</w:t>
      </w:r>
    </w:p>
    <w:p w:rsidR="007B1FBE" w:rsidRDefault="007B1FBE" w:rsidP="007B1F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030"/>
        <w:gridCol w:w="1030"/>
        <w:gridCol w:w="1030"/>
        <w:gridCol w:w="1030"/>
        <w:gridCol w:w="1030"/>
        <w:gridCol w:w="1030"/>
      </w:tblGrid>
      <w:tr w:rsidR="007B1FBE">
        <w:trPr>
          <w:cantSplit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1FBE" w:rsidRDefault="001043E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T</w:t>
            </w:r>
            <w:r w:rsidR="007B1FBE">
              <w:rPr>
                <w:rFonts w:ascii="Arial" w:hAnsi="Arial" w:cs="Arial"/>
                <w:b/>
                <w:bCs/>
                <w:color w:val="010205"/>
              </w:rPr>
              <w:t>ests</w:t>
            </w:r>
            <w:proofErr w:type="spellEnd"/>
            <w:r w:rsidR="007B1FBE">
              <w:rPr>
                <w:rFonts w:ascii="Arial" w:hAnsi="Arial" w:cs="Arial"/>
                <w:b/>
                <w:bCs/>
                <w:color w:val="010205"/>
              </w:rPr>
              <w:t xml:space="preserve"> of </w:t>
            </w:r>
            <w:proofErr w:type="spellStart"/>
            <w:r w:rsidR="007B1FBE">
              <w:rPr>
                <w:rFonts w:ascii="Arial" w:hAnsi="Arial" w:cs="Arial"/>
                <w:b/>
                <w:bCs/>
                <w:color w:val="010205"/>
              </w:rPr>
              <w:t>Normality</w:t>
            </w:r>
            <w:proofErr w:type="spellEnd"/>
          </w:p>
        </w:tc>
      </w:tr>
      <w:tr w:rsidR="007B1FBE">
        <w:trPr>
          <w:cantSplit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  <w:proofErr w:type="spellEnd"/>
          </w:p>
        </w:tc>
      </w:tr>
      <w:tr w:rsidR="007B1FBE">
        <w:trPr>
          <w:cantSplit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FBE" w:rsidRDefault="007B1FB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7B1FBE">
        <w:trPr>
          <w:cantSplit/>
        </w:trPr>
        <w:tc>
          <w:tcPr>
            <w:tcW w:w="15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1FBE" w:rsidRDefault="007B1FB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SUMmetak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,880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:rsidR="007B1FBE">
        <w:trPr>
          <w:cantSplit/>
        </w:trPr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1FBE" w:rsidRDefault="007B1FB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SUMtilastoepäv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</w:tr>
      <w:tr w:rsidR="007B1FBE">
        <w:trPr>
          <w:cantSplit/>
        </w:trPr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FBE" w:rsidRDefault="007B1FB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SUMtilastoahd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1FBE" w:rsidRDefault="007B1FB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:rsidR="007B1FBE">
        <w:trPr>
          <w:cantSplit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FBE" w:rsidRPr="00EC4BA6" w:rsidRDefault="007B1FBE" w:rsidP="00EC4BA6">
            <w:pPr>
              <w:pStyle w:val="ListParagraph"/>
              <w:numPr>
                <w:ilvl w:val="0"/>
                <w:numId w:val="5"/>
              </w:numPr>
              <w:spacing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EC4BA6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EC4BA6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EC4BA6">
              <w:rPr>
                <w:rFonts w:ascii="Arial" w:hAnsi="Arial" w:cs="Arial"/>
                <w:color w:val="010205"/>
                <w:sz w:val="18"/>
                <w:szCs w:val="18"/>
              </w:rPr>
              <w:t>Significance</w:t>
            </w:r>
            <w:proofErr w:type="spellEnd"/>
            <w:r w:rsidRPr="00EC4BA6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EC4BA6">
              <w:rPr>
                <w:rFonts w:ascii="Arial" w:hAnsi="Arial" w:cs="Arial"/>
                <w:color w:val="010205"/>
                <w:sz w:val="18"/>
                <w:szCs w:val="18"/>
              </w:rPr>
              <w:t>Correction</w:t>
            </w:r>
            <w:proofErr w:type="spellEnd"/>
          </w:p>
          <w:p w:rsidR="00EC4BA6" w:rsidRPr="00EC4BA6" w:rsidRDefault="00EC4BA6" w:rsidP="00EC4BA6">
            <w:pPr>
              <w:pStyle w:val="ListParagraph"/>
              <w:spacing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F7271" w:rsidTr="001043E8">
        <w:trPr>
          <w:cantSplit/>
          <w:trHeight w:val="640"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4BA6" w:rsidRPr="00D706A1" w:rsidRDefault="00EC4BA6" w:rsidP="00EC4B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706A1">
              <w:rPr>
                <w:rFonts w:ascii="Arial" w:hAnsi="Arial" w:cs="Arial"/>
                <w:sz w:val="24"/>
                <w:szCs w:val="24"/>
              </w:rPr>
              <w:t>Poikkeavuudet normaalijakaumista eivät ole tilastollisesti merkitseviä.</w:t>
            </w:r>
          </w:p>
          <w:p w:rsidR="007F7271" w:rsidRDefault="007F7271" w:rsidP="001043E8">
            <w:pPr>
              <w:spacing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E706C5" w:rsidRDefault="00E706C5" w:rsidP="007F7271"/>
    <w:p w:rsidR="00E706C5" w:rsidRDefault="00E706C5" w:rsidP="00E706C5">
      <w:pPr>
        <w:pStyle w:val="NoSpacing"/>
      </w:pPr>
    </w:p>
    <w:p w:rsidR="00E706C5" w:rsidRPr="001043E8" w:rsidRDefault="00E706C5" w:rsidP="00E706C5">
      <w:pPr>
        <w:pStyle w:val="NoSpacing"/>
        <w:rPr>
          <w:b/>
          <w:sz w:val="36"/>
          <w:szCs w:val="36"/>
        </w:rPr>
      </w:pPr>
      <w:r w:rsidRPr="001043E8">
        <w:rPr>
          <w:b/>
          <w:sz w:val="36"/>
          <w:szCs w:val="36"/>
        </w:rPr>
        <w:t>TEHTÄVÄ 2</w:t>
      </w:r>
    </w:p>
    <w:p w:rsidR="00E706C5" w:rsidRDefault="00E706C5" w:rsidP="00E706C5">
      <w:pPr>
        <w:pStyle w:val="NoSpacing"/>
      </w:pPr>
    </w:p>
    <w:p w:rsidR="00EC4BA6" w:rsidRDefault="00EC4BA6" w:rsidP="00E706C5">
      <w:pPr>
        <w:pStyle w:val="NoSpacing"/>
      </w:pPr>
    </w:p>
    <w:p w:rsidR="00E706C5" w:rsidRPr="00EC4BA6" w:rsidRDefault="007F7271" w:rsidP="001043E8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>Jaetaan matematiikan arvosana osaamistason mukaan kolmeen luokkaan.</w:t>
      </w:r>
    </w:p>
    <w:p w:rsidR="007F7271" w:rsidRPr="007F7271" w:rsidRDefault="007F7271" w:rsidP="007F72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798"/>
        <w:gridCol w:w="2306"/>
        <w:gridCol w:w="2306"/>
      </w:tblGrid>
      <w:tr w:rsidR="007F7271" w:rsidRPr="007F7271">
        <w:trPr>
          <w:cantSplit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7F7271">
              <w:rPr>
                <w:rFonts w:ascii="Arial" w:hAnsi="Arial" w:cs="Arial"/>
                <w:b/>
                <w:bCs/>
                <w:color w:val="010205"/>
              </w:rPr>
              <w:t>Created</w:t>
            </w:r>
            <w:proofErr w:type="spellEnd"/>
            <w:r w:rsidRPr="007F7271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7F7271">
              <w:rPr>
                <w:rFonts w:ascii="Arial" w:hAnsi="Arial" w:cs="Arial"/>
                <w:b/>
                <w:bCs/>
                <w:color w:val="010205"/>
              </w:rPr>
              <w:t>Variables</w:t>
            </w:r>
            <w:r w:rsidRPr="007F727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F7271" w:rsidRPr="007F7271">
        <w:trPr>
          <w:cantSplit/>
        </w:trPr>
        <w:tc>
          <w:tcPr>
            <w:tcW w:w="16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  <w:proofErr w:type="spellEnd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 xml:space="preserve">New </w:t>
            </w: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230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Label</w:t>
            </w:r>
            <w:proofErr w:type="spellEnd"/>
          </w:p>
        </w:tc>
      </w:tr>
      <w:tr w:rsidR="007F7271" w:rsidRPr="007F7271">
        <w:trPr>
          <w:cantSplit/>
        </w:trPr>
        <w:tc>
          <w:tcPr>
            <w:tcW w:w="16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MATEMAT</w:t>
            </w:r>
            <w:r w:rsidRPr="007F727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7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Rank</w:t>
            </w:r>
          </w:p>
        </w:tc>
        <w:tc>
          <w:tcPr>
            <w:tcW w:w="230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RMATEMAT</w:t>
            </w:r>
          </w:p>
        </w:tc>
        <w:tc>
          <w:tcPr>
            <w:tcW w:w="23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Rank of MATEMAT</w:t>
            </w:r>
          </w:p>
        </w:tc>
      </w:tr>
      <w:tr w:rsidR="007F7271" w:rsidRPr="007F7271">
        <w:trPr>
          <w:cantSplit/>
        </w:trPr>
        <w:tc>
          <w:tcPr>
            <w:tcW w:w="16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Percentile</w:t>
            </w:r>
            <w:proofErr w:type="spellEnd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F7271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  <w:r w:rsidRPr="007F727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NMATEMAT</w:t>
            </w:r>
          </w:p>
        </w:tc>
        <w:tc>
          <w:tcPr>
            <w:tcW w:w="23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Percentile</w:t>
            </w:r>
            <w:proofErr w:type="spellEnd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 xml:space="preserve"> Group of MATEMAT</w:t>
            </w:r>
          </w:p>
        </w:tc>
      </w:tr>
      <w:tr w:rsidR="007F7271" w:rsidRPr="004B0476">
        <w:trPr>
          <w:cantSplit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Mean rank of tied values is used for ties.</w:t>
            </w:r>
          </w:p>
        </w:tc>
      </w:tr>
      <w:tr w:rsidR="007F7271" w:rsidRPr="004B0476">
        <w:trPr>
          <w:cantSplit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Ranks are in ascending order.</w:t>
            </w:r>
          </w:p>
        </w:tc>
      </w:tr>
      <w:tr w:rsidR="007F7271" w:rsidRPr="007F7271">
        <w:trPr>
          <w:cantSplit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7271" w:rsidRPr="007F7271" w:rsidRDefault="007F7271" w:rsidP="007F7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 xml:space="preserve">c. 3 </w:t>
            </w:r>
            <w:proofErr w:type="spellStart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groups</w:t>
            </w:r>
            <w:proofErr w:type="spellEnd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are</w:t>
            </w:r>
            <w:proofErr w:type="spellEnd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generated</w:t>
            </w:r>
            <w:proofErr w:type="spellEnd"/>
            <w:r w:rsidRPr="007F7271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7F7271" w:rsidRPr="007F7271" w:rsidRDefault="007F7271" w:rsidP="007F72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7271" w:rsidRDefault="007F7271" w:rsidP="007F7271">
      <w:pPr>
        <w:pStyle w:val="NoSpacing"/>
      </w:pPr>
    </w:p>
    <w:p w:rsidR="00E706C5" w:rsidRDefault="00E706C5" w:rsidP="00E706C5">
      <w:pPr>
        <w:pStyle w:val="NoSpacing"/>
      </w:pPr>
    </w:p>
    <w:p w:rsidR="00E706C5" w:rsidRPr="00EC4BA6" w:rsidRDefault="007F7271" w:rsidP="00EC4BA6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 xml:space="preserve">Selvitetään, eroavatko metakognitiivisten strategioiden ja tilastoepävarmuuden summamuuttujat matematiikan osaamistason mukaan (matematiikan ryhmät </w:t>
      </w:r>
      <w:proofErr w:type="gramStart"/>
      <w:r w:rsidRPr="00EC4BA6">
        <w:rPr>
          <w:rFonts w:ascii="Arial" w:hAnsi="Arial" w:cs="Arial"/>
          <w:b/>
          <w:sz w:val="24"/>
          <w:szCs w:val="24"/>
        </w:rPr>
        <w:t>1&amp;2</w:t>
      </w:r>
      <w:proofErr w:type="gramEnd"/>
      <w:r w:rsidRPr="00EC4BA6">
        <w:rPr>
          <w:rFonts w:ascii="Arial" w:hAnsi="Arial" w:cs="Arial"/>
          <w:b/>
          <w:sz w:val="24"/>
          <w:szCs w:val="24"/>
        </w:rPr>
        <w:t>).</w:t>
      </w:r>
    </w:p>
    <w:p w:rsidR="001043E8" w:rsidRPr="001043E8" w:rsidRDefault="001043E8" w:rsidP="00EC4BA6">
      <w:pPr>
        <w:pStyle w:val="NoSpacing"/>
        <w:ind w:left="360"/>
        <w:rPr>
          <w:b/>
        </w:rPr>
      </w:pPr>
    </w:p>
    <w:p w:rsidR="00B470DB" w:rsidRPr="00B470DB" w:rsidRDefault="00B470DB" w:rsidP="00B47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737"/>
        <w:gridCol w:w="1029"/>
      </w:tblGrid>
      <w:tr w:rsidR="00B470DB" w:rsidRPr="00B470DB">
        <w:trPr>
          <w:cantSplit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70DB">
              <w:rPr>
                <w:rFonts w:ascii="Arial" w:hAnsi="Arial" w:cs="Arial"/>
                <w:b/>
                <w:bCs/>
                <w:color w:val="010205"/>
              </w:rPr>
              <w:t>Between-Subjects</w:t>
            </w:r>
            <w:proofErr w:type="spellEnd"/>
            <w:r w:rsidRPr="00B470DB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470DB">
              <w:rPr>
                <w:rFonts w:ascii="Arial" w:hAnsi="Arial" w:cs="Arial"/>
                <w:b/>
                <w:bCs/>
                <w:color w:val="010205"/>
              </w:rPr>
              <w:t>Factors</w:t>
            </w:r>
            <w:proofErr w:type="spellEnd"/>
          </w:p>
        </w:tc>
      </w:tr>
      <w:tr w:rsidR="00B470DB" w:rsidRPr="00B470DB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B470DB" w:rsidRPr="00B470DB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Percentile</w:t>
            </w:r>
            <w:proofErr w:type="spellEnd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 xml:space="preserve"> Group of MATEMAT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B470DB" w:rsidRPr="00B470DB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B470DB" w:rsidRPr="00B470DB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</w:tbl>
    <w:p w:rsidR="00B470DB" w:rsidRDefault="00B470DB" w:rsidP="00B470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70DB" w:rsidRPr="00B470DB" w:rsidRDefault="00B470DB" w:rsidP="00B47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475"/>
        <w:gridCol w:w="1030"/>
        <w:gridCol w:w="1415"/>
        <w:gridCol w:w="1030"/>
        <w:gridCol w:w="1030"/>
      </w:tblGrid>
      <w:tr w:rsidR="00B470DB" w:rsidRPr="004B0476">
        <w:trPr>
          <w:cantSplit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B470DB">
              <w:rPr>
                <w:rFonts w:ascii="Arial" w:hAnsi="Arial" w:cs="Arial"/>
                <w:b/>
                <w:bCs/>
                <w:color w:val="010205"/>
                <w:lang w:val="en-US"/>
              </w:rPr>
              <w:t>Tests of Between-Subjects Effects</w:t>
            </w:r>
          </w:p>
        </w:tc>
      </w:tr>
      <w:tr w:rsidR="00B470DB" w:rsidRPr="00B470DB">
        <w:trPr>
          <w:cantSplit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SUMmetak</w:t>
            </w:r>
            <w:proofErr w:type="spellEnd"/>
            <w:proofErr w:type="gramEnd"/>
            <w:r w:rsidRPr="00B470D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,762</w:t>
            </w:r>
            <w:r w:rsidRPr="00B470D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,190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,828</w:t>
            </w: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199,111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199,111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99,115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NMATEMAT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,762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,190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,828</w:t>
            </w: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Error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50,222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2,009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336,000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DB" w:rsidRPr="00B470DB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B470DB">
              <w:rPr>
                <w:rFonts w:ascii="Arial" w:hAnsi="Arial" w:cs="Arial"/>
                <w:color w:val="264A60"/>
                <w:sz w:val="18"/>
                <w:szCs w:val="18"/>
              </w:rPr>
              <w:t xml:space="preserve">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50,984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DB" w:rsidRPr="004B0476">
        <w:trPr>
          <w:cantSplit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0DB" w:rsidRPr="00B470DB" w:rsidRDefault="00B470DB" w:rsidP="00B470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470DB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R Squared = ,015 (Adjusted R Squared = -,064)</w:t>
            </w:r>
          </w:p>
        </w:tc>
      </w:tr>
    </w:tbl>
    <w:p w:rsidR="00B470DB" w:rsidRPr="00B470DB" w:rsidRDefault="00B470DB" w:rsidP="00B470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B470DB" w:rsidRPr="00B470DB" w:rsidRDefault="00B470DB" w:rsidP="00B470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706C5" w:rsidRPr="00B470DB" w:rsidRDefault="00E706C5" w:rsidP="00E706C5">
      <w:pPr>
        <w:pStyle w:val="NoSpacing"/>
        <w:rPr>
          <w:lang w:val="en-US"/>
        </w:rPr>
      </w:pPr>
    </w:p>
    <w:p w:rsidR="00E9350D" w:rsidRPr="00EC4BA6" w:rsidRDefault="00EC4BA6" w:rsidP="00EC4BA6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>Selvitetään, eroaa</w:t>
      </w:r>
      <w:r w:rsidR="007D4D43" w:rsidRPr="00EC4BA6">
        <w:rPr>
          <w:rFonts w:ascii="Arial" w:hAnsi="Arial" w:cs="Arial"/>
          <w:b/>
          <w:sz w:val="24"/>
          <w:szCs w:val="24"/>
        </w:rPr>
        <w:t>ko metakognitiivisten strategioiden summamuuttuja saunomisaika-taustamuuttujan suhteen:</w:t>
      </w:r>
    </w:p>
    <w:p w:rsidR="00E9350D" w:rsidRPr="00E9350D" w:rsidRDefault="00E9350D" w:rsidP="00E9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519"/>
        <w:gridCol w:w="1061"/>
        <w:gridCol w:w="1457"/>
        <w:gridCol w:w="1061"/>
        <w:gridCol w:w="1061"/>
      </w:tblGrid>
      <w:tr w:rsidR="00E9350D" w:rsidRPr="00E9350D">
        <w:trPr>
          <w:cantSplit/>
        </w:trPr>
        <w:tc>
          <w:tcPr>
            <w:tcW w:w="7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9350D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E9350D" w:rsidRPr="00E9350D">
        <w:trPr>
          <w:cantSplit/>
        </w:trPr>
        <w:tc>
          <w:tcPr>
            <w:tcW w:w="7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SUMmetak</w:t>
            </w:r>
            <w:proofErr w:type="spell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9350D" w:rsidRPr="00E9350D">
        <w:trPr>
          <w:cantSplit/>
        </w:trPr>
        <w:tc>
          <w:tcPr>
            <w:tcW w:w="175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of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E9350D" w:rsidRPr="00E9350D">
        <w:trPr>
          <w:cantSplit/>
        </w:trPr>
        <w:tc>
          <w:tcPr>
            <w:tcW w:w="17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Between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5,248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2,624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1,434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,257</w:t>
            </w:r>
          </w:p>
        </w:tc>
      </w:tr>
      <w:tr w:rsidR="00E9350D" w:rsidRPr="00E9350D">
        <w:trPr>
          <w:cantSplit/>
        </w:trPr>
        <w:tc>
          <w:tcPr>
            <w:tcW w:w="17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5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45,736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1,829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0D" w:rsidRPr="00E9350D">
        <w:trPr>
          <w:cantSplit/>
        </w:trPr>
        <w:tc>
          <w:tcPr>
            <w:tcW w:w="175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50,984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0D" w:rsidRPr="00E9350D" w:rsidRDefault="00E9350D" w:rsidP="00E9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9350D" w:rsidRPr="00A52BFC" w:rsidRDefault="007F65C8" w:rsidP="00FC6F04">
      <w:pPr>
        <w:rPr>
          <w:rFonts w:ascii="Arial" w:hAnsi="Arial" w:cs="Arial"/>
          <w:sz w:val="24"/>
          <w:szCs w:val="24"/>
        </w:rPr>
      </w:pPr>
      <w:r w:rsidRPr="00A52BFC">
        <w:rPr>
          <w:rFonts w:ascii="Arial" w:hAnsi="Arial" w:cs="Arial"/>
          <w:sz w:val="24"/>
          <w:szCs w:val="24"/>
        </w:rPr>
        <w:t xml:space="preserve">F-suure ilmoittaa, onko ryhmien värillä eroja. </w:t>
      </w:r>
      <w:proofErr w:type="spellStart"/>
      <w:r w:rsidRPr="00A52BFC">
        <w:rPr>
          <w:rFonts w:ascii="Arial" w:hAnsi="Arial" w:cs="Arial"/>
          <w:sz w:val="24"/>
          <w:szCs w:val="24"/>
        </w:rPr>
        <w:t>Sig</w:t>
      </w:r>
      <w:proofErr w:type="spellEnd"/>
      <w:r w:rsidRPr="00A52BFC">
        <w:rPr>
          <w:rFonts w:ascii="Arial" w:hAnsi="Arial" w:cs="Arial"/>
          <w:sz w:val="24"/>
          <w:szCs w:val="24"/>
        </w:rPr>
        <w:t xml:space="preserve">-arvon mukaan erot eivät kuitenkaan tässä tapauksessa </w:t>
      </w:r>
      <w:r w:rsidR="00FC6F04" w:rsidRPr="00A52BFC">
        <w:rPr>
          <w:rFonts w:ascii="Arial" w:hAnsi="Arial" w:cs="Arial"/>
          <w:sz w:val="24"/>
          <w:szCs w:val="24"/>
        </w:rPr>
        <w:t xml:space="preserve">ole tilastollisesti merkittäviä, joten </w:t>
      </w:r>
      <w:proofErr w:type="spellStart"/>
      <w:r w:rsidR="00FC6F04" w:rsidRPr="00A52BFC">
        <w:rPr>
          <w:rFonts w:ascii="Arial" w:hAnsi="Arial" w:cs="Arial"/>
          <w:sz w:val="24"/>
          <w:szCs w:val="24"/>
        </w:rPr>
        <w:t>post</w:t>
      </w:r>
      <w:proofErr w:type="spellEnd"/>
      <w:r w:rsidR="00FC6F04" w:rsidRPr="00A52BFC">
        <w:rPr>
          <w:rFonts w:ascii="Arial" w:hAnsi="Arial" w:cs="Arial"/>
          <w:sz w:val="24"/>
          <w:szCs w:val="24"/>
        </w:rPr>
        <w:t xml:space="preserve"> hoc </w:t>
      </w:r>
      <w:proofErr w:type="gramStart"/>
      <w:r w:rsidR="00FC6F04" w:rsidRPr="00A52BFC">
        <w:rPr>
          <w:rFonts w:ascii="Arial" w:hAnsi="Arial" w:cs="Arial"/>
          <w:sz w:val="24"/>
          <w:szCs w:val="24"/>
        </w:rPr>
        <w:t>–</w:t>
      </w:r>
      <w:r w:rsidR="00A52BFC">
        <w:rPr>
          <w:rFonts w:ascii="Arial" w:hAnsi="Arial" w:cs="Arial"/>
          <w:sz w:val="24"/>
          <w:szCs w:val="24"/>
        </w:rPr>
        <w:t>testi</w:t>
      </w:r>
      <w:proofErr w:type="gramEnd"/>
      <w:r w:rsidR="00FC6F04" w:rsidRPr="00A52BFC">
        <w:rPr>
          <w:rFonts w:ascii="Arial" w:hAnsi="Arial" w:cs="Arial"/>
          <w:sz w:val="24"/>
          <w:szCs w:val="24"/>
        </w:rPr>
        <w:t xml:space="preserve"> voidaan jättää huomiotta.</w:t>
      </w:r>
    </w:p>
    <w:p w:rsidR="00E9350D" w:rsidRDefault="00E9350D" w:rsidP="007D4D43">
      <w:pPr>
        <w:pStyle w:val="NoSpacing"/>
      </w:pPr>
    </w:p>
    <w:p w:rsidR="007D4D43" w:rsidRPr="00EC4BA6" w:rsidRDefault="00EC4BA6" w:rsidP="00EC4BA6">
      <w:pPr>
        <w:pStyle w:val="NoSpacing"/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>Selvitetään myös</w:t>
      </w:r>
      <w:r w:rsidR="00FC6F04" w:rsidRPr="00EC4BA6">
        <w:rPr>
          <w:rFonts w:ascii="Arial" w:hAnsi="Arial" w:cs="Arial"/>
          <w:b/>
          <w:sz w:val="24"/>
          <w:szCs w:val="24"/>
        </w:rPr>
        <w:t>, e</w:t>
      </w:r>
      <w:r w:rsidR="007D4D43" w:rsidRPr="00EC4BA6">
        <w:rPr>
          <w:rFonts w:ascii="Arial" w:hAnsi="Arial" w:cs="Arial"/>
          <w:b/>
          <w:sz w:val="24"/>
          <w:szCs w:val="24"/>
        </w:rPr>
        <w:t xml:space="preserve">roaako tilastoepävarmuuden summamuuttuja saunomisaika </w:t>
      </w:r>
      <w:proofErr w:type="gramStart"/>
      <w:r w:rsidR="007D4D43" w:rsidRPr="00EC4BA6">
        <w:rPr>
          <w:rFonts w:ascii="Arial" w:hAnsi="Arial" w:cs="Arial"/>
          <w:b/>
          <w:sz w:val="24"/>
          <w:szCs w:val="24"/>
        </w:rPr>
        <w:t>–taustamuuttujan</w:t>
      </w:r>
      <w:proofErr w:type="gramEnd"/>
      <w:r w:rsidR="007D4D43" w:rsidRPr="00EC4BA6">
        <w:rPr>
          <w:rFonts w:ascii="Arial" w:hAnsi="Arial" w:cs="Arial"/>
          <w:b/>
          <w:sz w:val="24"/>
          <w:szCs w:val="24"/>
        </w:rPr>
        <w:t xml:space="preserve"> suhteen:</w:t>
      </w:r>
    </w:p>
    <w:p w:rsidR="00E9350D" w:rsidRPr="00E9350D" w:rsidRDefault="00E9350D" w:rsidP="00E9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E9350D" w:rsidRPr="00E9350D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9350D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E9350D" w:rsidRPr="00E9350D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SUMtilastoepäv</w:t>
            </w:r>
            <w:proofErr w:type="spell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9350D" w:rsidRPr="00E9350D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of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E9350D" w:rsidRPr="00E9350D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Between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11,956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5,978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7,380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  <w:tr w:rsidR="00E9350D" w:rsidRPr="00E9350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Groups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20,250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,810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0D" w:rsidRPr="00E9350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32,206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0D" w:rsidRDefault="00E9350D" w:rsidP="00E9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9350D" w:rsidRPr="00EC4BA6" w:rsidRDefault="007F65C8" w:rsidP="00FC6F04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F-suure ilmoittaa, onko ryhmien värillä eroja. </w:t>
      </w:r>
      <w:proofErr w:type="spellStart"/>
      <w:r w:rsidRPr="00EC4BA6">
        <w:rPr>
          <w:rFonts w:ascii="Arial" w:hAnsi="Arial" w:cs="Arial"/>
          <w:sz w:val="24"/>
          <w:szCs w:val="24"/>
        </w:rPr>
        <w:t>Sig</w:t>
      </w:r>
      <w:proofErr w:type="spellEnd"/>
      <w:r w:rsidRPr="00EC4BA6">
        <w:rPr>
          <w:rFonts w:ascii="Arial" w:hAnsi="Arial" w:cs="Arial"/>
          <w:sz w:val="24"/>
          <w:szCs w:val="24"/>
        </w:rPr>
        <w:t>-arvon mukaan tässä tapauksessa erot ovat ti</w:t>
      </w:r>
      <w:r w:rsidR="00FC6F04" w:rsidRPr="00EC4BA6">
        <w:rPr>
          <w:rFonts w:ascii="Arial" w:hAnsi="Arial" w:cs="Arial"/>
          <w:sz w:val="24"/>
          <w:szCs w:val="24"/>
        </w:rPr>
        <w:t xml:space="preserve">lastollisesti merkitseviä, joten voidaan tarkastella lähemmin </w:t>
      </w:r>
      <w:proofErr w:type="spellStart"/>
      <w:r w:rsidR="00FC6F04" w:rsidRPr="00EC4BA6">
        <w:rPr>
          <w:rFonts w:ascii="Arial" w:hAnsi="Arial" w:cs="Arial"/>
          <w:sz w:val="24"/>
          <w:szCs w:val="24"/>
        </w:rPr>
        <w:t>post</w:t>
      </w:r>
      <w:proofErr w:type="spellEnd"/>
      <w:r w:rsidR="00FC6F04" w:rsidRPr="00EC4BA6">
        <w:rPr>
          <w:rFonts w:ascii="Arial" w:hAnsi="Arial" w:cs="Arial"/>
          <w:sz w:val="24"/>
          <w:szCs w:val="24"/>
        </w:rPr>
        <w:t>-hoc-testin avulla, missä ryhmien väliset erot ovat.</w:t>
      </w:r>
    </w:p>
    <w:tbl>
      <w:tblPr>
        <w:tblW w:w="8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69"/>
        <w:gridCol w:w="1476"/>
        <w:gridCol w:w="1075"/>
        <w:gridCol w:w="1029"/>
        <w:gridCol w:w="1414"/>
        <w:gridCol w:w="1414"/>
      </w:tblGrid>
      <w:tr w:rsidR="00E9350D" w:rsidRPr="00E9350D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9350D">
              <w:rPr>
                <w:rFonts w:ascii="Arial" w:hAnsi="Arial" w:cs="Arial"/>
                <w:b/>
                <w:bCs/>
                <w:color w:val="010205"/>
              </w:rPr>
              <w:t>Multiple</w:t>
            </w:r>
            <w:proofErr w:type="spellEnd"/>
            <w:r w:rsidRPr="00E9350D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b/>
                <w:bCs/>
                <w:color w:val="010205"/>
              </w:rPr>
              <w:t>Comparisons</w:t>
            </w:r>
            <w:proofErr w:type="spellEnd"/>
          </w:p>
        </w:tc>
      </w:tr>
      <w:tr w:rsidR="00E9350D" w:rsidRPr="00E9350D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SUMtilastoepäv</w:t>
            </w:r>
            <w:proofErr w:type="spellEnd"/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9350D" w:rsidRPr="00E9350D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</w:t>
            </w:r>
            <w:proofErr w:type="spellEnd"/>
            <w:r w:rsidRPr="00E9350D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HSD  </w:t>
            </w:r>
          </w:p>
        </w:tc>
      </w:tr>
      <w:tr w:rsidR="00E9350D" w:rsidRPr="00E9350D">
        <w:trPr>
          <w:cantSplit/>
        </w:trPr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(I-J)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95%</w:t>
            </w:r>
            <w:proofErr w:type="gram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</w:p>
        </w:tc>
      </w:tr>
      <w:tr w:rsidR="00E9350D" w:rsidRPr="00E9350D">
        <w:trPr>
          <w:cantSplit/>
        </w:trPr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 xml:space="preserve">Upper </w:t>
            </w:r>
            <w:proofErr w:type="spellStart"/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E9350D" w:rsidRPr="00E9350D">
        <w:trPr>
          <w:cantSplit/>
        </w:trPr>
        <w:tc>
          <w:tcPr>
            <w:tcW w:w="11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9350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,3718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</w:tr>
      <w:tr w:rsidR="00E9350D" w:rsidRPr="00E9350D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9350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,7105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</w:tr>
      <w:tr w:rsidR="00E9350D" w:rsidRPr="00E9350D">
        <w:trPr>
          <w:cantSplit/>
        </w:trPr>
        <w:tc>
          <w:tcPr>
            <w:tcW w:w="11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2,00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9350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-,3718</w:t>
            </w:r>
            <w:proofErr w:type="gramEnd"/>
          </w:p>
        </w:tc>
      </w:tr>
      <w:tr w:rsidR="00E9350D" w:rsidRPr="00E9350D">
        <w:trPr>
          <w:cantSplit/>
        </w:trPr>
        <w:tc>
          <w:tcPr>
            <w:tcW w:w="11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-,5124</w:t>
            </w:r>
            <w:proofErr w:type="gramEnd"/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</w:tr>
      <w:tr w:rsidR="00E9350D" w:rsidRPr="00E9350D">
        <w:trPr>
          <w:cantSplit/>
        </w:trPr>
        <w:tc>
          <w:tcPr>
            <w:tcW w:w="11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9350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-,7105</w:t>
            </w:r>
            <w:proofErr w:type="gramEnd"/>
          </w:p>
        </w:tc>
      </w:tr>
      <w:tr w:rsidR="00E9350D" w:rsidRPr="00E9350D">
        <w:trPr>
          <w:cantSplit/>
        </w:trPr>
        <w:tc>
          <w:tcPr>
            <w:tcW w:w="11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  <w:proofErr w:type="gramEnd"/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</w:rPr>
              <w:t>,5124</w:t>
            </w:r>
          </w:p>
        </w:tc>
      </w:tr>
      <w:tr w:rsidR="00E9350D" w:rsidRPr="004B0476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350D" w:rsidRPr="00E9350D" w:rsidRDefault="00E9350D" w:rsidP="00E93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9350D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E9350D" w:rsidRDefault="00E9350D" w:rsidP="00E9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C6F04" w:rsidRPr="00EC4BA6" w:rsidRDefault="00FC6F04" w:rsidP="00FC6F04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Tilastollisesti merkitsevä ero on ryhmien 1 ja 3 </w:t>
      </w:r>
      <w:r w:rsidR="004B0476">
        <w:rPr>
          <w:rFonts w:ascii="Arial" w:hAnsi="Arial" w:cs="Arial"/>
          <w:sz w:val="24"/>
          <w:szCs w:val="24"/>
        </w:rPr>
        <w:t>välillä</w:t>
      </w:r>
      <w:r w:rsidRPr="00EC4BA6">
        <w:rPr>
          <w:rFonts w:ascii="Arial" w:hAnsi="Arial" w:cs="Arial"/>
          <w:sz w:val="24"/>
          <w:szCs w:val="24"/>
        </w:rPr>
        <w:t>.</w:t>
      </w:r>
    </w:p>
    <w:p w:rsidR="00FC6F04" w:rsidRPr="00E9350D" w:rsidRDefault="00FC6F04" w:rsidP="00E935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06C5" w:rsidRPr="00FC6F04" w:rsidRDefault="00E706C5" w:rsidP="00E706C5">
      <w:pPr>
        <w:pStyle w:val="NoSpacing"/>
      </w:pPr>
    </w:p>
    <w:p w:rsidR="00E706C5" w:rsidRPr="00EC4BA6" w:rsidRDefault="00E706C5" w:rsidP="00E706C5">
      <w:pPr>
        <w:pStyle w:val="NoSpacing"/>
        <w:rPr>
          <w:b/>
          <w:sz w:val="36"/>
          <w:szCs w:val="36"/>
        </w:rPr>
      </w:pPr>
      <w:r w:rsidRPr="00EC4BA6">
        <w:rPr>
          <w:b/>
          <w:sz w:val="36"/>
          <w:szCs w:val="36"/>
        </w:rPr>
        <w:t>TEHTÄVÄ</w:t>
      </w:r>
      <w:r w:rsidR="007F65C8" w:rsidRPr="00EC4BA6">
        <w:rPr>
          <w:b/>
          <w:sz w:val="36"/>
          <w:szCs w:val="36"/>
        </w:rPr>
        <w:t xml:space="preserve"> 3:</w:t>
      </w:r>
    </w:p>
    <w:p w:rsidR="007F65C8" w:rsidRDefault="007F65C8" w:rsidP="00E706C5">
      <w:pPr>
        <w:pStyle w:val="NoSpacing"/>
      </w:pPr>
    </w:p>
    <w:p w:rsidR="00E706C5" w:rsidRDefault="00E706C5" w:rsidP="00E706C5">
      <w:pPr>
        <w:pStyle w:val="NoSpacing"/>
      </w:pPr>
    </w:p>
    <w:p w:rsidR="00E706C5" w:rsidRPr="00EC4BA6" w:rsidRDefault="007F65C8" w:rsidP="007F65C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t>Selvitetään regressioanalyysillä, miten sukupuoli ja matematiikan 3-jako ennustaa tikkatulosta.</w:t>
      </w:r>
    </w:p>
    <w:p w:rsidR="00FC6F04" w:rsidRPr="00FC6F04" w:rsidRDefault="00FC6F04" w:rsidP="00FC6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075"/>
        <w:gridCol w:w="1138"/>
        <w:gridCol w:w="1540"/>
        <w:gridCol w:w="1540"/>
        <w:gridCol w:w="1540"/>
      </w:tblGrid>
      <w:tr w:rsidR="00FC6F04" w:rsidRPr="00FC6F04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C6F04">
              <w:rPr>
                <w:rFonts w:ascii="Arial" w:hAnsi="Arial" w:cs="Arial"/>
                <w:b/>
                <w:bCs/>
                <w:color w:val="010205"/>
              </w:rPr>
              <w:t>Model</w:t>
            </w:r>
            <w:proofErr w:type="spellEnd"/>
            <w:r w:rsidRPr="00FC6F04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FC6F0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FC6F04" w:rsidRPr="00FC6F04">
        <w:trPr>
          <w:cantSplit/>
        </w:trPr>
        <w:tc>
          <w:tcPr>
            <w:tcW w:w="8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Adjusted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Durbin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-Watson</w:t>
            </w:r>
          </w:p>
        </w:tc>
      </w:tr>
      <w:tr w:rsidR="00FC6F04" w:rsidRPr="00FC6F04">
        <w:trPr>
          <w:cantSplit/>
        </w:trPr>
        <w:tc>
          <w:tcPr>
            <w:tcW w:w="83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,501</w:t>
            </w:r>
            <w:r w:rsidRPr="00FC6F0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,251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9,02518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1,979</w:t>
            </w:r>
          </w:p>
        </w:tc>
      </w:tr>
      <w:tr w:rsidR="00FC6F04" w:rsidRPr="004B0476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Percentile Group of MATEMAT, SUKUPUOLI</w:t>
            </w:r>
          </w:p>
        </w:tc>
      </w:tr>
      <w:tr w:rsidR="00FC6F04" w:rsidRPr="00FC6F04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</w:tbl>
    <w:p w:rsidR="00FC6F04" w:rsidRPr="00FC6F04" w:rsidRDefault="00FC6F04" w:rsidP="00FC6F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C6F04" w:rsidRPr="00EC4BA6" w:rsidRDefault="00FC6F04" w:rsidP="001043E8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>Sukupuoli ja matematiikan 3-jako selittävät 19 prosenttia</w:t>
      </w:r>
      <w:r w:rsidR="001043E8" w:rsidRPr="00EC4BA6">
        <w:rPr>
          <w:rFonts w:ascii="Arial" w:hAnsi="Arial" w:cs="Arial"/>
          <w:sz w:val="24"/>
          <w:szCs w:val="24"/>
        </w:rPr>
        <w:t xml:space="preserve"> eli melko vähän</w:t>
      </w:r>
      <w:r w:rsidRPr="00EC4BA6">
        <w:rPr>
          <w:rFonts w:ascii="Arial" w:hAnsi="Arial" w:cs="Arial"/>
          <w:sz w:val="24"/>
          <w:szCs w:val="24"/>
        </w:rPr>
        <w:t xml:space="preserve"> tikkatuloksesta. Jäännösvarianssi (</w:t>
      </w:r>
      <w:proofErr w:type="spellStart"/>
      <w:r w:rsidRPr="00EC4BA6">
        <w:rPr>
          <w:rFonts w:ascii="Arial" w:hAnsi="Arial" w:cs="Arial"/>
          <w:sz w:val="24"/>
          <w:szCs w:val="24"/>
        </w:rPr>
        <w:t>Durbin</w:t>
      </w:r>
      <w:proofErr w:type="spellEnd"/>
      <w:r w:rsidRPr="00EC4BA6">
        <w:rPr>
          <w:rFonts w:ascii="Arial" w:hAnsi="Arial" w:cs="Arial"/>
          <w:sz w:val="24"/>
          <w:szCs w:val="24"/>
        </w:rPr>
        <w:t>-Watson) on 1,979.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2336"/>
        <w:gridCol w:w="957"/>
        <w:gridCol w:w="1243"/>
        <w:gridCol w:w="2009"/>
        <w:gridCol w:w="640"/>
        <w:gridCol w:w="491"/>
        <w:gridCol w:w="1076"/>
        <w:gridCol w:w="665"/>
      </w:tblGrid>
      <w:tr w:rsidR="00FC6F04" w:rsidRPr="00FC6F04" w:rsidTr="00FC6F04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C6F04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FC6F0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FC6F04" w:rsidRPr="00FC6F04" w:rsidTr="00FC6F04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Standardized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Collinearity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FC6F04" w:rsidRPr="00FC6F04" w:rsidTr="00FC6F04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FC6F04" w:rsidRPr="00FC6F04" w:rsidTr="00FC6F04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10,370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7,887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1,315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04" w:rsidRPr="00FC6F04" w:rsidTr="00FC6F04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10,522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4,208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,438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2,500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,019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1,025</w:t>
            </w:r>
          </w:p>
        </w:tc>
      </w:tr>
      <w:tr w:rsidR="00FC6F04" w:rsidRPr="00FC6F04" w:rsidTr="00FC6F04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>Percentile</w:t>
            </w:r>
            <w:proofErr w:type="spellEnd"/>
            <w:r w:rsidRPr="00FC6F04">
              <w:rPr>
                <w:rFonts w:ascii="Arial" w:hAnsi="Arial" w:cs="Arial"/>
                <w:color w:val="264A60"/>
                <w:sz w:val="18"/>
                <w:szCs w:val="18"/>
              </w:rPr>
              <w:t xml:space="preserve"> Group of MATEMAT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2,848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2,703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-,185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1,054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,302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1,025</w:t>
            </w:r>
          </w:p>
        </w:tc>
      </w:tr>
      <w:tr w:rsidR="00FC6F04" w:rsidRPr="00FC6F04" w:rsidTr="00FC6F04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F04" w:rsidRPr="00FC6F04" w:rsidRDefault="00FC6F04" w:rsidP="00FC6F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 w:rsidRPr="00FC6F04"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</w:tbl>
    <w:p w:rsidR="00FC6F04" w:rsidRPr="00FC6F04" w:rsidRDefault="00FC6F04" w:rsidP="00FC6F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65C8" w:rsidRPr="00EC4BA6" w:rsidRDefault="00FC6F04" w:rsidP="007F65C8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Yhden yksikön muutos raakapisteissä: jos sukupuoli vaihtuu (1-2), raakapisteet tikkatuloksissa lisääntyvät 10,522 pistettä. Jos matematiikan arvosanaryhmä muuttuu, raakapistemäärä tikkatuloksissa putoaa 2,848 pistettä. </w:t>
      </w:r>
      <w:proofErr w:type="spellStart"/>
      <w:r w:rsidRPr="00EC4BA6">
        <w:rPr>
          <w:rFonts w:ascii="Arial" w:hAnsi="Arial" w:cs="Arial"/>
          <w:sz w:val="24"/>
          <w:szCs w:val="24"/>
        </w:rPr>
        <w:t>Standardized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A6">
        <w:rPr>
          <w:rFonts w:ascii="Arial" w:hAnsi="Arial" w:cs="Arial"/>
          <w:sz w:val="24"/>
          <w:szCs w:val="24"/>
        </w:rPr>
        <w:t>Coefficients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A6">
        <w:rPr>
          <w:rFonts w:ascii="Arial" w:hAnsi="Arial" w:cs="Arial"/>
          <w:sz w:val="24"/>
          <w:szCs w:val="24"/>
        </w:rPr>
        <w:t>Beta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suhteuttaa painoarvot toisiinsa, tässä tapauksessa sukupuolen </w:t>
      </w:r>
      <w:proofErr w:type="gramStart"/>
      <w:r w:rsidRPr="00EC4BA6">
        <w:rPr>
          <w:rFonts w:ascii="Arial" w:hAnsi="Arial" w:cs="Arial"/>
          <w:sz w:val="24"/>
          <w:szCs w:val="24"/>
        </w:rPr>
        <w:t>merkitys ,</w:t>
      </w:r>
      <w:proofErr w:type="gramEnd"/>
      <w:r w:rsidRPr="00EC4BA6">
        <w:rPr>
          <w:rFonts w:ascii="Arial" w:hAnsi="Arial" w:cs="Arial"/>
          <w:sz w:val="24"/>
          <w:szCs w:val="24"/>
        </w:rPr>
        <w:t>438 on suurempi, mutta ei tilastollisesti merkitsevä.</w:t>
      </w:r>
    </w:p>
    <w:p w:rsidR="00FC6F04" w:rsidRPr="00EC4BA6" w:rsidRDefault="00FC6F04" w:rsidP="007F65C8">
      <w:pPr>
        <w:rPr>
          <w:rFonts w:ascii="Arial" w:hAnsi="Arial" w:cs="Arial"/>
          <w:sz w:val="24"/>
          <w:szCs w:val="24"/>
        </w:rPr>
      </w:pPr>
    </w:p>
    <w:p w:rsidR="00FC6F04" w:rsidRPr="00EC4BA6" w:rsidRDefault="00FC6F04" w:rsidP="00FC6F0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C4BA6">
        <w:rPr>
          <w:rFonts w:ascii="Arial" w:hAnsi="Arial" w:cs="Arial"/>
          <w:b/>
          <w:sz w:val="24"/>
          <w:szCs w:val="24"/>
        </w:rPr>
        <w:lastRenderedPageBreak/>
        <w:t>Lisätään selitysmalliin opettajakokemus-taustamuuttuja:</w:t>
      </w:r>
    </w:p>
    <w:p w:rsidR="001043E8" w:rsidRPr="00EC4BA6" w:rsidRDefault="001043E8" w:rsidP="001043E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7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075"/>
        <w:gridCol w:w="1138"/>
        <w:gridCol w:w="1540"/>
        <w:gridCol w:w="1540"/>
        <w:gridCol w:w="1540"/>
      </w:tblGrid>
      <w:tr w:rsidR="001043E8" w:rsidRPr="001043E8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043E8">
              <w:rPr>
                <w:rFonts w:ascii="Arial" w:hAnsi="Arial" w:cs="Arial"/>
                <w:b/>
                <w:bCs/>
                <w:color w:val="010205"/>
              </w:rPr>
              <w:t>Model</w:t>
            </w:r>
            <w:proofErr w:type="spellEnd"/>
            <w:r w:rsidRPr="001043E8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1043E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1043E8" w:rsidRPr="001043E8">
        <w:trPr>
          <w:cantSplit/>
        </w:trPr>
        <w:tc>
          <w:tcPr>
            <w:tcW w:w="8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Adjusted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5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Durbin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-Watson</w:t>
            </w:r>
          </w:p>
        </w:tc>
      </w:tr>
      <w:tr w:rsidR="001043E8" w:rsidRPr="001043E8">
        <w:trPr>
          <w:cantSplit/>
        </w:trPr>
        <w:tc>
          <w:tcPr>
            <w:tcW w:w="83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,821</w:t>
            </w:r>
            <w:r w:rsidRPr="001043E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,673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,632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6,08423</w:t>
            </w:r>
          </w:p>
        </w:tc>
        <w:tc>
          <w:tcPr>
            <w:tcW w:w="15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2,327</w:t>
            </w:r>
          </w:p>
        </w:tc>
      </w:tr>
      <w:tr w:rsidR="001043E8" w:rsidRPr="004B0476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OPEKO, SUKUPUOLI, Percentile Group of MATEMAT</w:t>
            </w:r>
          </w:p>
        </w:tc>
      </w:tr>
      <w:tr w:rsidR="001043E8" w:rsidRPr="001043E8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  <w:p w:rsid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1043E8" w:rsidRPr="00A52BFC" w:rsidRDefault="001043E8" w:rsidP="00A52BFC">
            <w:r w:rsidRPr="00EC4BA6">
              <w:rPr>
                <w:rFonts w:ascii="Arial" w:hAnsi="Arial" w:cs="Arial"/>
                <w:sz w:val="24"/>
                <w:szCs w:val="24"/>
              </w:rPr>
              <w:t>Sukupuoli, matematiikan 3-jako ja opettajakokemus selittävät nyt jo yhteensä 67 prosenttia tikkatuloksesta. Jäännösvarianssi (</w:t>
            </w:r>
            <w:proofErr w:type="spellStart"/>
            <w:r w:rsidRPr="00EC4BA6">
              <w:rPr>
                <w:rFonts w:ascii="Arial" w:hAnsi="Arial" w:cs="Arial"/>
                <w:sz w:val="24"/>
                <w:szCs w:val="24"/>
              </w:rPr>
              <w:t>Durbin</w:t>
            </w:r>
            <w:proofErr w:type="spellEnd"/>
            <w:r w:rsidRPr="00EC4BA6">
              <w:rPr>
                <w:rFonts w:ascii="Arial" w:hAnsi="Arial" w:cs="Arial"/>
                <w:sz w:val="24"/>
                <w:szCs w:val="24"/>
              </w:rPr>
              <w:t>-Watson) on 2,327</w:t>
            </w:r>
            <w:r w:rsidR="00A52BFC">
              <w:t>.</w:t>
            </w:r>
          </w:p>
        </w:tc>
      </w:tr>
    </w:tbl>
    <w:p w:rsidR="001043E8" w:rsidRPr="001043E8" w:rsidRDefault="001043E8" w:rsidP="001043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2336"/>
        <w:gridCol w:w="921"/>
        <w:gridCol w:w="1279"/>
        <w:gridCol w:w="2009"/>
        <w:gridCol w:w="640"/>
        <w:gridCol w:w="491"/>
        <w:gridCol w:w="1076"/>
        <w:gridCol w:w="665"/>
      </w:tblGrid>
      <w:tr w:rsidR="001043E8" w:rsidRPr="001043E8" w:rsidTr="001043E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043E8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043E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043E8" w:rsidRPr="001043E8" w:rsidTr="001043E8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Standardized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Collinearity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1043E8" w:rsidRPr="001043E8" w:rsidTr="001043E8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1043E8" w:rsidRPr="001043E8" w:rsidTr="001043E8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2,786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5,488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,508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,616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8" w:rsidRPr="001043E8" w:rsidTr="001043E8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9,143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2,848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3,211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,968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1,033</w:t>
            </w:r>
          </w:p>
        </w:tc>
      </w:tr>
      <w:tr w:rsidR="001043E8" w:rsidRPr="001043E8" w:rsidTr="001043E8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Percentile</w:t>
            </w:r>
            <w:proofErr w:type="spellEnd"/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 xml:space="preserve"> Group of MATEMAT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4,571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1,848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-,296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2,474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,948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1,054</w:t>
            </w:r>
          </w:p>
        </w:tc>
      </w:tr>
      <w:tr w:rsidR="001043E8" w:rsidRPr="001043E8" w:rsidTr="001043E8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264A60"/>
                <w:sz w:val="18"/>
                <w:szCs w:val="18"/>
              </w:rPr>
              <w:t>OPEKO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7,929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1,424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,660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5,569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,968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1,033</w:t>
            </w:r>
          </w:p>
        </w:tc>
      </w:tr>
      <w:tr w:rsidR="001043E8" w:rsidRPr="001043E8" w:rsidTr="001043E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43E8" w:rsidRPr="001043E8" w:rsidRDefault="001043E8" w:rsidP="001043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 w:rsidRPr="001043E8"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</w:tbl>
    <w:p w:rsidR="001043E8" w:rsidRDefault="001043E8" w:rsidP="001043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43E8" w:rsidRPr="00EC4BA6" w:rsidRDefault="001043E8" w:rsidP="001043E8">
      <w:pPr>
        <w:rPr>
          <w:rFonts w:ascii="Arial" w:hAnsi="Arial" w:cs="Arial"/>
          <w:sz w:val="24"/>
          <w:szCs w:val="24"/>
        </w:rPr>
      </w:pPr>
      <w:r w:rsidRPr="00EC4BA6">
        <w:rPr>
          <w:rFonts w:ascii="Arial" w:hAnsi="Arial" w:cs="Arial"/>
          <w:sz w:val="24"/>
          <w:szCs w:val="24"/>
        </w:rPr>
        <w:t xml:space="preserve">Yhden yksikön muutos raakapisteissä: jos sukupuoli vaihtuu (1-2), raakapisteet tikkatuloksissa lisääntyvät 9,143 pistettä. Jos matematiikan arvosanaryhmä muuttuu, raakapistemäärä tikkatuloksissa putoaa 4,571 pistettä. Jos taas opettajakokemus muuttuu yhdellä pykälällä, tikkatuloksen raakapisteet nousevat 7,929 pistettä. </w:t>
      </w:r>
      <w:proofErr w:type="spellStart"/>
      <w:r w:rsidRPr="00EC4BA6">
        <w:rPr>
          <w:rFonts w:ascii="Arial" w:hAnsi="Arial" w:cs="Arial"/>
          <w:sz w:val="24"/>
          <w:szCs w:val="24"/>
        </w:rPr>
        <w:t>Standardized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A6">
        <w:rPr>
          <w:rFonts w:ascii="Arial" w:hAnsi="Arial" w:cs="Arial"/>
          <w:sz w:val="24"/>
          <w:szCs w:val="24"/>
        </w:rPr>
        <w:t>Coefficients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A6">
        <w:rPr>
          <w:rFonts w:ascii="Arial" w:hAnsi="Arial" w:cs="Arial"/>
          <w:sz w:val="24"/>
          <w:szCs w:val="24"/>
        </w:rPr>
        <w:t>Beta</w:t>
      </w:r>
      <w:proofErr w:type="spellEnd"/>
      <w:r w:rsidRPr="00EC4BA6">
        <w:rPr>
          <w:rFonts w:ascii="Arial" w:hAnsi="Arial" w:cs="Arial"/>
          <w:sz w:val="24"/>
          <w:szCs w:val="24"/>
        </w:rPr>
        <w:t xml:space="preserve"> suhteuttaa painoarvot toisiinsa: opettajakokemuksen merkitys tikkatulokseen on selkeästi merkityksellisin, sillä se saa </w:t>
      </w:r>
      <w:proofErr w:type="gramStart"/>
      <w:r w:rsidRPr="00EC4BA6">
        <w:rPr>
          <w:rFonts w:ascii="Arial" w:hAnsi="Arial" w:cs="Arial"/>
          <w:sz w:val="24"/>
          <w:szCs w:val="24"/>
        </w:rPr>
        <w:t>arvon ,</w:t>
      </w:r>
      <w:proofErr w:type="gramEnd"/>
      <w:r w:rsidRPr="00EC4BA6">
        <w:rPr>
          <w:rFonts w:ascii="Arial" w:hAnsi="Arial" w:cs="Arial"/>
          <w:sz w:val="24"/>
          <w:szCs w:val="24"/>
        </w:rPr>
        <w:t>660 (vrt. sukupuoli ,381 ja matematiikan ryhmä -,296) ja lisäksi se on tilastollisesti merkitsevä (</w:t>
      </w:r>
      <w:proofErr w:type="spellStart"/>
      <w:r w:rsidRPr="00EC4BA6">
        <w:rPr>
          <w:rFonts w:ascii="Arial" w:hAnsi="Arial" w:cs="Arial"/>
          <w:sz w:val="24"/>
          <w:szCs w:val="24"/>
        </w:rPr>
        <w:t>Sig</w:t>
      </w:r>
      <w:proofErr w:type="spellEnd"/>
      <w:r w:rsidRPr="00EC4BA6">
        <w:rPr>
          <w:rFonts w:ascii="Arial" w:hAnsi="Arial" w:cs="Arial"/>
          <w:sz w:val="24"/>
          <w:szCs w:val="24"/>
        </w:rPr>
        <w:t>. ,000). Jos opettajakokemus otetaan mukaan taustamuuttujaksi, muuttuu myös sukupuolen merkitsevyys tilastollisesti merkitseväksi (</w:t>
      </w:r>
      <w:proofErr w:type="spellStart"/>
      <w:proofErr w:type="gramStart"/>
      <w:r w:rsidRPr="00EC4BA6">
        <w:rPr>
          <w:rFonts w:ascii="Arial" w:hAnsi="Arial" w:cs="Arial"/>
          <w:sz w:val="24"/>
          <w:szCs w:val="24"/>
        </w:rPr>
        <w:t>Sig</w:t>
      </w:r>
      <w:proofErr w:type="spellEnd"/>
      <w:r w:rsidRPr="00EC4BA6">
        <w:rPr>
          <w:rFonts w:ascii="Arial" w:hAnsi="Arial" w:cs="Arial"/>
          <w:sz w:val="24"/>
          <w:szCs w:val="24"/>
        </w:rPr>
        <w:t>. ,</w:t>
      </w:r>
      <w:proofErr w:type="gramEnd"/>
      <w:r w:rsidRPr="00EC4BA6">
        <w:rPr>
          <w:rFonts w:ascii="Arial" w:hAnsi="Arial" w:cs="Arial"/>
          <w:sz w:val="24"/>
          <w:szCs w:val="24"/>
        </w:rPr>
        <w:t>004).</w:t>
      </w:r>
    </w:p>
    <w:p w:rsidR="001043E8" w:rsidRPr="001043E8" w:rsidRDefault="001043E8" w:rsidP="001043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3E8" w:rsidRDefault="001043E8" w:rsidP="001043E8"/>
    <w:p w:rsidR="001043E8" w:rsidRDefault="001043E8" w:rsidP="001043E8">
      <w:pPr>
        <w:pStyle w:val="ListParagraph"/>
      </w:pPr>
    </w:p>
    <w:p w:rsidR="001043E8" w:rsidRDefault="001043E8" w:rsidP="001043E8">
      <w:pPr>
        <w:pStyle w:val="ListParagraph"/>
      </w:pPr>
    </w:p>
    <w:p w:rsidR="00E706C5" w:rsidRDefault="00E706C5"/>
    <w:sectPr w:rsidR="00E706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BA5"/>
    <w:multiLevelType w:val="hybridMultilevel"/>
    <w:tmpl w:val="FF08A2D0"/>
    <w:lvl w:ilvl="0" w:tplc="97984D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D51F69"/>
    <w:multiLevelType w:val="hybridMultilevel"/>
    <w:tmpl w:val="7D5CD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71A1"/>
    <w:multiLevelType w:val="hybridMultilevel"/>
    <w:tmpl w:val="4D5C1E4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D5325"/>
    <w:multiLevelType w:val="hybridMultilevel"/>
    <w:tmpl w:val="EFCAD4A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68BA"/>
    <w:multiLevelType w:val="hybridMultilevel"/>
    <w:tmpl w:val="A59038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5"/>
    <w:rsid w:val="0005327D"/>
    <w:rsid w:val="001043E8"/>
    <w:rsid w:val="001457F1"/>
    <w:rsid w:val="002024EC"/>
    <w:rsid w:val="00232345"/>
    <w:rsid w:val="00287118"/>
    <w:rsid w:val="002E68B0"/>
    <w:rsid w:val="002F3933"/>
    <w:rsid w:val="00401AA6"/>
    <w:rsid w:val="004B0476"/>
    <w:rsid w:val="00642A1D"/>
    <w:rsid w:val="0066381B"/>
    <w:rsid w:val="0069573B"/>
    <w:rsid w:val="00740499"/>
    <w:rsid w:val="007B1FBE"/>
    <w:rsid w:val="007D4D43"/>
    <w:rsid w:val="007E2C86"/>
    <w:rsid w:val="007F65C8"/>
    <w:rsid w:val="007F7271"/>
    <w:rsid w:val="00942E90"/>
    <w:rsid w:val="00A52BFC"/>
    <w:rsid w:val="00B13593"/>
    <w:rsid w:val="00B470DB"/>
    <w:rsid w:val="00C44697"/>
    <w:rsid w:val="00D706A1"/>
    <w:rsid w:val="00DD2B60"/>
    <w:rsid w:val="00E706C5"/>
    <w:rsid w:val="00E9350D"/>
    <w:rsid w:val="00EC4BA6"/>
    <w:rsid w:val="00F04208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27EB-175D-497F-9027-172B95B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C5"/>
  </w:style>
  <w:style w:type="paragraph" w:styleId="Heading1">
    <w:name w:val="heading 1"/>
    <w:basedOn w:val="Normal"/>
    <w:next w:val="Normal"/>
    <w:link w:val="Heading1Char"/>
    <w:uiPriority w:val="9"/>
    <w:qFormat/>
    <w:rsid w:val="0010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6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06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Alervo, Annika M</dc:creator>
  <cp:keywords/>
  <dc:description/>
  <cp:lastModifiedBy>Hotulainen, Risto H E</cp:lastModifiedBy>
  <cp:revision>2</cp:revision>
  <dcterms:created xsi:type="dcterms:W3CDTF">2017-12-28T09:04:00Z</dcterms:created>
  <dcterms:modified xsi:type="dcterms:W3CDTF">2017-12-28T09:04:00Z</dcterms:modified>
</cp:coreProperties>
</file>