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99" w:rsidRPr="00990B7A" w:rsidRDefault="00384C99" w:rsidP="00A96316">
      <w:pPr>
        <w:ind w:left="0"/>
        <w:rPr>
          <w:b/>
          <w:sz w:val="28"/>
          <w:szCs w:val="28"/>
        </w:rPr>
      </w:pPr>
      <w:proofErr w:type="spellStart"/>
      <w:r w:rsidRPr="00990B7A">
        <w:rPr>
          <w:b/>
          <w:sz w:val="28"/>
          <w:szCs w:val="28"/>
        </w:rPr>
        <w:t>SoleTM</w:t>
      </w:r>
      <w:proofErr w:type="spellEnd"/>
      <w:r w:rsidRPr="00990B7A">
        <w:rPr>
          <w:b/>
          <w:sz w:val="28"/>
          <w:szCs w:val="28"/>
        </w:rPr>
        <w:t xml:space="preserve"> – työsuunnitelmat 1.8.2010 alkaen</w:t>
      </w:r>
    </w:p>
    <w:p w:rsidR="00384C99" w:rsidRPr="00426BD7" w:rsidRDefault="00384C99">
      <w:pPr>
        <w:rPr>
          <w:b/>
        </w:rPr>
      </w:pPr>
    </w:p>
    <w:p w:rsidR="008309FF" w:rsidRPr="008309FF" w:rsidRDefault="00426BD7" w:rsidP="008309FF">
      <w:pPr>
        <w:pStyle w:val="ListParagraph"/>
        <w:numPr>
          <w:ilvl w:val="0"/>
          <w:numId w:val="7"/>
        </w:numPr>
      </w:pPr>
      <w:r w:rsidRPr="00426BD7">
        <w:t>Kokonaistyöajan piiriin kuuluu 1.8.2010 lukien koko opetus- ja tutkimushenkilöstö, lukuun ott</w:t>
      </w:r>
      <w:r w:rsidRPr="00426BD7">
        <w:t>a</w:t>
      </w:r>
      <w:r w:rsidRPr="00426BD7">
        <w:t>matta tutkimusavustajina tai opetusavustajina toimivia perustutkintoa suorittavia opiskelijoita.</w:t>
      </w:r>
      <w:r w:rsidR="00384C99" w:rsidRPr="00426BD7">
        <w:t xml:space="preserve"> </w:t>
      </w:r>
      <w:r w:rsidR="008309FF" w:rsidRPr="008309FF">
        <w:t>Muutosta aikaisempaan on tehtäv</w:t>
      </w:r>
      <w:r w:rsidR="008309FF">
        <w:t xml:space="preserve">ien/kategorioiden </w:t>
      </w:r>
      <w:proofErr w:type="gramStart"/>
      <w:r w:rsidR="008309FF">
        <w:t>täsmentyminen  kuten</w:t>
      </w:r>
      <w:proofErr w:type="gramEnd"/>
      <w:r w:rsidR="008309FF">
        <w:t xml:space="preserve"> </w:t>
      </w:r>
      <w:r w:rsidR="008309FF" w:rsidRPr="008309FF">
        <w:t xml:space="preserve"> 99, Täydentävän r</w:t>
      </w:r>
      <w:r w:rsidR="008309FF" w:rsidRPr="008309FF">
        <w:t>a</w:t>
      </w:r>
      <w:r w:rsidR="008309FF" w:rsidRPr="008309FF">
        <w:t>hoituksen toiminta, alajaottelu.</w:t>
      </w:r>
    </w:p>
    <w:p w:rsidR="00990B7A" w:rsidRDefault="00990B7A" w:rsidP="00A96316">
      <w:pPr>
        <w:ind w:left="0"/>
      </w:pPr>
    </w:p>
    <w:p w:rsidR="00E862C4" w:rsidRDefault="00990B7A" w:rsidP="00E862C4">
      <w:pPr>
        <w:ind w:left="0"/>
      </w:pPr>
      <w:r w:rsidRPr="00990B7A">
        <w:rPr>
          <w:b/>
          <w:sz w:val="24"/>
          <w:szCs w:val="24"/>
        </w:rPr>
        <w:t>Suunnitelmat tehdään samalla periaatteella kuin aikaisemminkin</w:t>
      </w:r>
      <w:r w:rsidR="00E862C4" w:rsidRPr="00E862C4">
        <w:t xml:space="preserve"> </w:t>
      </w:r>
    </w:p>
    <w:p w:rsidR="00E862C4" w:rsidRDefault="00E862C4" w:rsidP="00E862C4">
      <w:pPr>
        <w:ind w:left="0"/>
      </w:pPr>
    </w:p>
    <w:p w:rsidR="00E862C4" w:rsidRDefault="00E862C4" w:rsidP="00E862C4">
      <w:pPr>
        <w:pStyle w:val="ListParagraph"/>
        <w:numPr>
          <w:ilvl w:val="0"/>
          <w:numId w:val="7"/>
        </w:numPr>
      </w:pPr>
      <w:r>
        <w:t xml:space="preserve">Kokonaistyöaikaan kuuluva ei merkitse lomia eikä poissaoloja Sole </w:t>
      </w:r>
      <w:proofErr w:type="spellStart"/>
      <w:r>
        <w:t>Tm:ään</w:t>
      </w:r>
      <w:proofErr w:type="spellEnd"/>
    </w:p>
    <w:p w:rsidR="00990B7A" w:rsidRPr="00E862C4" w:rsidRDefault="00E862C4" w:rsidP="00E862C4">
      <w:pPr>
        <w:pStyle w:val="ListParagraph"/>
        <w:numPr>
          <w:ilvl w:val="0"/>
          <w:numId w:val="7"/>
        </w:numPr>
        <w:tabs>
          <w:tab w:val="left" w:pos="2410"/>
        </w:tabs>
        <w:rPr>
          <w:b/>
          <w:sz w:val="24"/>
          <w:szCs w:val="24"/>
        </w:rPr>
      </w:pPr>
      <w:r>
        <w:t>P</w:t>
      </w:r>
      <w:r w:rsidRPr="00426BD7">
        <w:t>erusrahoituksesta palkkansa saavat käyttä</w:t>
      </w:r>
      <w:r>
        <w:t>vät</w:t>
      </w:r>
      <w:r w:rsidRPr="00426BD7">
        <w:t xml:space="preserve"> suunnitelman tehtäviä </w:t>
      </w:r>
      <w:proofErr w:type="gramStart"/>
      <w:r w:rsidRPr="00426BD7">
        <w:t>11-42</w:t>
      </w:r>
      <w:proofErr w:type="gramEnd"/>
      <w:r w:rsidRPr="00426BD7">
        <w:t>, ja täydentävästä rahoituksesta pal</w:t>
      </w:r>
      <w:r w:rsidRPr="00426BD7">
        <w:t>k</w:t>
      </w:r>
      <w:r w:rsidRPr="00426BD7">
        <w:t>kansa saavat käyttävät 99-alkuisia tehtäviä.</w:t>
      </w:r>
    </w:p>
    <w:p w:rsidR="00990B7A" w:rsidRDefault="00E862C4" w:rsidP="00990B7A">
      <w:pPr>
        <w:pStyle w:val="ListParagraph"/>
        <w:numPr>
          <w:ilvl w:val="0"/>
          <w:numId w:val="6"/>
        </w:numPr>
        <w:tabs>
          <w:tab w:val="left" w:pos="2410"/>
        </w:tabs>
      </w:pPr>
      <w:r>
        <w:t>Vasta s</w:t>
      </w:r>
      <w:r w:rsidR="00990B7A" w:rsidRPr="00426BD7">
        <w:t>uunnitelman vahvistaminen tekee siitä toteutuman ka</w:t>
      </w:r>
      <w:r w:rsidR="00990B7A">
        <w:t xml:space="preserve">ikille suunnitelman kuukausille (koskee tehtäviä 11- </w:t>
      </w:r>
      <w:proofErr w:type="gramStart"/>
      <w:r w:rsidR="00990B7A">
        <w:t>42)</w:t>
      </w:r>
      <w:r w:rsidR="00990B7A" w:rsidRPr="00426BD7">
        <w:t xml:space="preserve"> </w:t>
      </w:r>
      <w:r w:rsidR="00990B7A">
        <w:t>.</w:t>
      </w:r>
      <w:proofErr w:type="gramEnd"/>
    </w:p>
    <w:p w:rsidR="00990B7A" w:rsidRPr="00990B7A" w:rsidRDefault="00E862C4" w:rsidP="00990B7A">
      <w:pPr>
        <w:pStyle w:val="ListParagraph"/>
        <w:numPr>
          <w:ilvl w:val="0"/>
          <w:numId w:val="6"/>
        </w:numPr>
        <w:tabs>
          <w:tab w:val="left" w:pos="2410"/>
        </w:tabs>
      </w:pPr>
      <w:r>
        <w:rPr>
          <w:b/>
        </w:rPr>
        <w:t xml:space="preserve">HUOM! </w:t>
      </w:r>
      <w:r w:rsidR="00990B7A">
        <w:rPr>
          <w:b/>
        </w:rPr>
        <w:t>T</w:t>
      </w:r>
      <w:r w:rsidR="00990B7A" w:rsidRPr="00990B7A">
        <w:rPr>
          <w:b/>
        </w:rPr>
        <w:t xml:space="preserve">ehtävän 99 Hanketyöskentelyn alle suunniteltuja tunteja ei siirretä </w:t>
      </w:r>
      <w:r w:rsidR="00D3230B">
        <w:rPr>
          <w:b/>
        </w:rPr>
        <w:t xml:space="preserve">suunnitelmasta </w:t>
      </w:r>
      <w:r w:rsidR="00990B7A" w:rsidRPr="00990B7A">
        <w:rPr>
          <w:b/>
        </w:rPr>
        <w:t xml:space="preserve">toteutumaksi, vaan ne täytyy kohdentaa edelleen sitä mukaa, kun työtä tehdään. </w:t>
      </w:r>
    </w:p>
    <w:p w:rsidR="00990B7A" w:rsidRPr="00426BD7" w:rsidRDefault="00990B7A" w:rsidP="00990B7A">
      <w:pPr>
        <w:tabs>
          <w:tab w:val="left" w:pos="2410"/>
        </w:tabs>
        <w:ind w:left="0"/>
      </w:pPr>
    </w:p>
    <w:p w:rsidR="00990B7A" w:rsidRPr="00426BD7" w:rsidRDefault="00990B7A" w:rsidP="00990B7A">
      <w:pPr>
        <w:tabs>
          <w:tab w:val="left" w:pos="2410"/>
        </w:tabs>
        <w:ind w:left="0"/>
      </w:pPr>
      <w:r w:rsidRPr="00426BD7">
        <w:rPr>
          <w:highlight w:val="yellow"/>
        </w:rPr>
        <w:t>Täydentävän rahoituksen projekteissa työskentelevien opetusta suunniteltaessa on huom</w:t>
      </w:r>
      <w:r w:rsidRPr="00426BD7">
        <w:rPr>
          <w:highlight w:val="yellow"/>
        </w:rPr>
        <w:t>i</w:t>
      </w:r>
      <w:r w:rsidRPr="00426BD7">
        <w:rPr>
          <w:highlight w:val="yellow"/>
        </w:rPr>
        <w:t>oitava se, että kaikki rahoittajat eivät rahoita opetusta. Tällöin opetuksen osuutta ei saa kohdentaa projektille.</w:t>
      </w:r>
    </w:p>
    <w:p w:rsidR="00990B7A" w:rsidRDefault="00990B7A" w:rsidP="00A96316">
      <w:pPr>
        <w:ind w:left="0"/>
      </w:pPr>
    </w:p>
    <w:p w:rsidR="00384C99" w:rsidRPr="00426BD7" w:rsidRDefault="00384C99" w:rsidP="00E862C4">
      <w:pPr>
        <w:pStyle w:val="ListParagraph"/>
        <w:numPr>
          <w:ilvl w:val="0"/>
          <w:numId w:val="8"/>
        </w:numPr>
      </w:pPr>
      <w:r w:rsidRPr="00426BD7">
        <w:t>Kokonaistyöajasta ja työsuunnitelmien teosta on Henkilöstö- ja lakiasiat tehnyt ohjeen, A</w:t>
      </w:r>
      <w:r w:rsidRPr="00426BD7">
        <w:t>l</w:t>
      </w:r>
      <w:r w:rsidRPr="00426BD7">
        <w:t xml:space="preserve">massa </w:t>
      </w:r>
      <w:hyperlink r:id="rId6" w:history="1">
        <w:r w:rsidRPr="00426BD7">
          <w:rPr>
            <w:rStyle w:val="Hyperlink"/>
          </w:rPr>
          <w:t>https://alma.helsinki.fi/doclink/</w:t>
        </w:r>
        <w:proofErr w:type="gramStart"/>
        <w:r w:rsidRPr="00426BD7">
          <w:rPr>
            <w:rStyle w:val="Hyperlink"/>
          </w:rPr>
          <w:t>184127</w:t>
        </w:r>
      </w:hyperlink>
      <w:r w:rsidRPr="00426BD7">
        <w:t xml:space="preserve"> .</w:t>
      </w:r>
      <w:proofErr w:type="gramEnd"/>
    </w:p>
    <w:p w:rsidR="00384C99" w:rsidRPr="00426BD7" w:rsidRDefault="00384C99" w:rsidP="00A96316">
      <w:pPr>
        <w:ind w:left="0"/>
      </w:pPr>
    </w:p>
    <w:p w:rsidR="00384C99" w:rsidRPr="00E862C4" w:rsidRDefault="00BB61AC" w:rsidP="00A96316">
      <w:pPr>
        <w:ind w:left="0"/>
        <w:rPr>
          <w:b/>
          <w:sz w:val="28"/>
          <w:szCs w:val="28"/>
        </w:rPr>
      </w:pPr>
      <w:r w:rsidRPr="00E862C4">
        <w:rPr>
          <w:b/>
          <w:sz w:val="28"/>
          <w:szCs w:val="28"/>
        </w:rPr>
        <w:t>S</w:t>
      </w:r>
      <w:r w:rsidR="00384C99" w:rsidRPr="00E862C4">
        <w:rPr>
          <w:b/>
          <w:sz w:val="28"/>
          <w:szCs w:val="28"/>
        </w:rPr>
        <w:t>uunnitelmapohja sisältää seuraavat tehtävät:</w:t>
      </w:r>
    </w:p>
    <w:p w:rsidR="00384C99" w:rsidRPr="00426BD7" w:rsidRDefault="00384C99"/>
    <w:p w:rsidR="00384C99" w:rsidRPr="00426BD7" w:rsidRDefault="00693F84">
      <w:pPr>
        <w:rPr>
          <w:b/>
        </w:rPr>
      </w:pPr>
      <w:r w:rsidRPr="00426BD7">
        <w:rPr>
          <w:b/>
        </w:rPr>
        <w:t xml:space="preserve">1 </w:t>
      </w:r>
      <w:r w:rsidR="00384C99" w:rsidRPr="00426BD7">
        <w:rPr>
          <w:b/>
        </w:rPr>
        <w:t>Koulutus</w:t>
      </w:r>
    </w:p>
    <w:p w:rsidR="00384C99" w:rsidRPr="00426BD7" w:rsidRDefault="00384C99">
      <w:pPr>
        <w:rPr>
          <w:b/>
        </w:rPr>
      </w:pPr>
      <w:r w:rsidRPr="00426BD7">
        <w:rPr>
          <w:b/>
        </w:rPr>
        <w:tab/>
      </w:r>
      <w:r w:rsidR="00693F84" w:rsidRPr="00426BD7">
        <w:rPr>
          <w:b/>
        </w:rPr>
        <w:t xml:space="preserve">11 </w:t>
      </w:r>
      <w:r w:rsidRPr="00426BD7">
        <w:rPr>
          <w:b/>
        </w:rPr>
        <w:t>Perustutkintokoulutus</w:t>
      </w:r>
    </w:p>
    <w:p w:rsidR="00384C99" w:rsidRPr="00426BD7" w:rsidRDefault="00384C99" w:rsidP="00384C99">
      <w:pPr>
        <w:pStyle w:val="ListParagraph"/>
        <w:numPr>
          <w:ilvl w:val="0"/>
          <w:numId w:val="1"/>
        </w:numPr>
        <w:tabs>
          <w:tab w:val="left" w:pos="2410"/>
        </w:tabs>
        <w:ind w:left="1843" w:firstLine="0"/>
        <w:rPr>
          <w:b/>
        </w:rPr>
      </w:pPr>
      <w:r w:rsidRPr="00426BD7">
        <w:t>Alempaan ja ylempään korkeakoulututkintoon tähtäävä koulutus</w:t>
      </w:r>
    </w:p>
    <w:p w:rsidR="00384C99" w:rsidRPr="00426BD7" w:rsidRDefault="00384C99" w:rsidP="00384C99">
      <w:pPr>
        <w:pStyle w:val="ListParagraph"/>
        <w:numPr>
          <w:ilvl w:val="0"/>
          <w:numId w:val="1"/>
        </w:numPr>
        <w:tabs>
          <w:tab w:val="left" w:pos="2410"/>
        </w:tabs>
        <w:ind w:left="1843" w:firstLine="0"/>
        <w:rPr>
          <w:b/>
        </w:rPr>
      </w:pPr>
      <w:r w:rsidRPr="00426BD7">
        <w:t>Maisteriohjelmat</w:t>
      </w:r>
    </w:p>
    <w:p w:rsidR="00384C99" w:rsidRPr="00426BD7" w:rsidRDefault="00693F84" w:rsidP="00384C99">
      <w:pPr>
        <w:tabs>
          <w:tab w:val="left" w:pos="2410"/>
        </w:tabs>
        <w:ind w:left="1304"/>
        <w:rPr>
          <w:b/>
        </w:rPr>
      </w:pPr>
      <w:r w:rsidRPr="00426BD7">
        <w:rPr>
          <w:b/>
        </w:rPr>
        <w:t xml:space="preserve">12 </w:t>
      </w:r>
      <w:r w:rsidR="00384C99" w:rsidRPr="00426BD7">
        <w:rPr>
          <w:b/>
        </w:rPr>
        <w:t>Perustutkintojen osat (entinen aikuiskoulutus)</w:t>
      </w:r>
    </w:p>
    <w:p w:rsidR="00384C99" w:rsidRPr="00426BD7" w:rsidRDefault="00693F84" w:rsidP="00384C99">
      <w:pPr>
        <w:pStyle w:val="ListParagraph"/>
        <w:numPr>
          <w:ilvl w:val="0"/>
          <w:numId w:val="1"/>
        </w:numPr>
        <w:tabs>
          <w:tab w:val="left" w:pos="2410"/>
        </w:tabs>
        <w:ind w:left="1843" w:firstLine="0"/>
      </w:pPr>
      <w:r w:rsidRPr="00426BD7">
        <w:t>Erilliset opinnot (erilliset opinto-oikeudet)</w:t>
      </w:r>
    </w:p>
    <w:p w:rsidR="00693F84" w:rsidRPr="00426BD7" w:rsidRDefault="00693F84" w:rsidP="00384C99">
      <w:pPr>
        <w:pStyle w:val="ListParagraph"/>
        <w:numPr>
          <w:ilvl w:val="0"/>
          <w:numId w:val="1"/>
        </w:numPr>
        <w:tabs>
          <w:tab w:val="left" w:pos="2410"/>
        </w:tabs>
        <w:ind w:left="1843" w:firstLine="0"/>
      </w:pPr>
      <w:r w:rsidRPr="00426BD7">
        <w:t>Avoimessa yliopisto-opetuksessa suoritettavat tehtävät</w:t>
      </w:r>
    </w:p>
    <w:p w:rsidR="00693F84" w:rsidRPr="00426BD7" w:rsidRDefault="00693F84" w:rsidP="00384C99">
      <w:pPr>
        <w:pStyle w:val="ListParagraph"/>
        <w:numPr>
          <w:ilvl w:val="0"/>
          <w:numId w:val="1"/>
        </w:numPr>
        <w:tabs>
          <w:tab w:val="left" w:pos="2410"/>
        </w:tabs>
        <w:ind w:left="1843" w:firstLine="0"/>
      </w:pPr>
      <w:r w:rsidRPr="00426BD7">
        <w:t>Täydennyskoulutuksena suoritettavat tutkintojen osat</w:t>
      </w:r>
    </w:p>
    <w:p w:rsidR="00693F84" w:rsidRPr="00426BD7" w:rsidRDefault="00693F84" w:rsidP="00693F84">
      <w:pPr>
        <w:tabs>
          <w:tab w:val="left" w:pos="2410"/>
        </w:tabs>
        <w:ind w:left="1304"/>
        <w:rPr>
          <w:b/>
        </w:rPr>
      </w:pPr>
      <w:r w:rsidRPr="00426BD7">
        <w:rPr>
          <w:b/>
        </w:rPr>
        <w:t>13 Muu koulutus</w:t>
      </w:r>
    </w:p>
    <w:p w:rsidR="00693F84" w:rsidRPr="00426BD7" w:rsidRDefault="00693F84" w:rsidP="00693F84">
      <w:pPr>
        <w:pStyle w:val="ListParagraph"/>
        <w:numPr>
          <w:ilvl w:val="0"/>
          <w:numId w:val="1"/>
        </w:numPr>
        <w:tabs>
          <w:tab w:val="left" w:pos="2410"/>
        </w:tabs>
        <w:ind w:left="1843" w:firstLine="0"/>
      </w:pPr>
      <w:proofErr w:type="gramStart"/>
      <w:r w:rsidRPr="00426BD7">
        <w:t>Tietyn kohderyhmän tarpeisiin suunniteltu täydennyskoulutus</w:t>
      </w:r>
      <w:proofErr w:type="gramEnd"/>
    </w:p>
    <w:p w:rsidR="00693F84" w:rsidRPr="00426BD7" w:rsidRDefault="00693F84" w:rsidP="00693F84">
      <w:pPr>
        <w:pStyle w:val="ListParagraph"/>
        <w:numPr>
          <w:ilvl w:val="0"/>
          <w:numId w:val="1"/>
        </w:numPr>
        <w:tabs>
          <w:tab w:val="left" w:pos="2410"/>
        </w:tabs>
        <w:ind w:left="1843" w:firstLine="0"/>
      </w:pPr>
      <w:proofErr w:type="gramStart"/>
      <w:r w:rsidRPr="00426BD7">
        <w:t>Oppisopimustyyppinen täydennyskoulutus korkeakoulutetuille</w:t>
      </w:r>
      <w:proofErr w:type="gramEnd"/>
    </w:p>
    <w:p w:rsidR="00693F84" w:rsidRPr="00426BD7" w:rsidRDefault="00693F84" w:rsidP="00693F84">
      <w:pPr>
        <w:rPr>
          <w:b/>
        </w:rPr>
      </w:pPr>
      <w:r w:rsidRPr="00426BD7">
        <w:rPr>
          <w:b/>
        </w:rPr>
        <w:t>2 Tutkimus</w:t>
      </w:r>
    </w:p>
    <w:p w:rsidR="00693F84" w:rsidRPr="00426BD7" w:rsidRDefault="00693F84" w:rsidP="00693F84">
      <w:pPr>
        <w:rPr>
          <w:b/>
        </w:rPr>
      </w:pPr>
      <w:r w:rsidRPr="00426BD7">
        <w:rPr>
          <w:b/>
        </w:rPr>
        <w:tab/>
        <w:t>21 Tutkijankoulutus</w:t>
      </w:r>
      <w:proofErr w:type="gramStart"/>
      <w:r w:rsidRPr="00426BD7">
        <w:rPr>
          <w:b/>
        </w:rPr>
        <w:t xml:space="preserve"> (entinen jatkotutkintokoulutus</w:t>
      </w:r>
      <w:proofErr w:type="gramEnd"/>
    </w:p>
    <w:p w:rsidR="00693F84" w:rsidRPr="00426BD7" w:rsidRDefault="00693F84" w:rsidP="00693F84">
      <w:pPr>
        <w:tabs>
          <w:tab w:val="left" w:pos="1701"/>
        </w:tabs>
      </w:pPr>
      <w:r w:rsidRPr="00426BD7">
        <w:rPr>
          <w:b/>
        </w:rPr>
        <w:tab/>
      </w:r>
      <w:r w:rsidRPr="00426BD7">
        <w:t>2101</w:t>
      </w:r>
      <w:r w:rsidRPr="00426BD7">
        <w:tab/>
        <w:t>Ohjaus (lisensiaatin ja tohtorin tutkinnot)</w:t>
      </w:r>
    </w:p>
    <w:p w:rsidR="00693F84" w:rsidRPr="00426BD7" w:rsidRDefault="00693F84" w:rsidP="00693F84">
      <w:pPr>
        <w:tabs>
          <w:tab w:val="left" w:pos="1701"/>
        </w:tabs>
      </w:pPr>
      <w:r w:rsidRPr="00426BD7">
        <w:tab/>
        <w:t>2102</w:t>
      </w:r>
      <w:r w:rsidRPr="00426BD7">
        <w:tab/>
        <w:t>Oman väitöskirjan teko</w:t>
      </w:r>
    </w:p>
    <w:p w:rsidR="00693F84" w:rsidRPr="00426BD7" w:rsidRDefault="00693F84" w:rsidP="00693F84">
      <w:pPr>
        <w:rPr>
          <w:b/>
        </w:rPr>
      </w:pPr>
      <w:r w:rsidRPr="00426BD7">
        <w:rPr>
          <w:b/>
        </w:rPr>
        <w:tab/>
        <w:t>22 Tieteellinen tutkimus</w:t>
      </w:r>
    </w:p>
    <w:p w:rsidR="00693F84" w:rsidRPr="00426BD7" w:rsidRDefault="00693F84" w:rsidP="00693F84">
      <w:pPr>
        <w:tabs>
          <w:tab w:val="left" w:pos="1701"/>
        </w:tabs>
      </w:pPr>
      <w:r w:rsidRPr="00426BD7">
        <w:rPr>
          <w:b/>
        </w:rPr>
        <w:tab/>
      </w:r>
      <w:r w:rsidRPr="00426BD7">
        <w:t>2201</w:t>
      </w:r>
      <w:r w:rsidRPr="00426BD7">
        <w:tab/>
        <w:t>Tutkimustyö</w:t>
      </w:r>
    </w:p>
    <w:p w:rsidR="00693F84" w:rsidRPr="00426BD7" w:rsidRDefault="00693F84" w:rsidP="00693F84">
      <w:pPr>
        <w:tabs>
          <w:tab w:val="left" w:pos="1701"/>
        </w:tabs>
      </w:pPr>
      <w:r w:rsidRPr="00426BD7">
        <w:tab/>
        <w:t>2202</w:t>
      </w:r>
      <w:r w:rsidRPr="00426BD7">
        <w:tab/>
        <w:t>Tutkimushallinto</w:t>
      </w:r>
    </w:p>
    <w:p w:rsidR="00693F84" w:rsidRPr="00426BD7" w:rsidRDefault="00693F84" w:rsidP="00426BD7">
      <w:pPr>
        <w:tabs>
          <w:tab w:val="left" w:pos="1701"/>
        </w:tabs>
        <w:rPr>
          <w:b/>
        </w:rPr>
      </w:pPr>
      <w:r w:rsidRPr="00426BD7">
        <w:rPr>
          <w:b/>
        </w:rPr>
        <w:t>3 Yhteiskunnallinen toiminta</w:t>
      </w:r>
    </w:p>
    <w:p w:rsidR="00426BD7" w:rsidRPr="00426BD7" w:rsidRDefault="00426BD7" w:rsidP="00426BD7">
      <w:pPr>
        <w:tabs>
          <w:tab w:val="left" w:pos="1701"/>
        </w:tabs>
        <w:rPr>
          <w:b/>
        </w:rPr>
      </w:pPr>
    </w:p>
    <w:p w:rsidR="00693F84" w:rsidRPr="00426BD7" w:rsidRDefault="00693F84" w:rsidP="00693F84">
      <w:pPr>
        <w:tabs>
          <w:tab w:val="left" w:pos="1701"/>
        </w:tabs>
        <w:rPr>
          <w:b/>
        </w:rPr>
      </w:pPr>
      <w:r w:rsidRPr="00426BD7">
        <w:rPr>
          <w:b/>
        </w:rPr>
        <w:t>42 Hallinto- ja tukitoimet</w:t>
      </w:r>
      <w:r w:rsidRPr="00426BD7">
        <w:rPr>
          <w:b/>
        </w:rPr>
        <w:tab/>
      </w:r>
    </w:p>
    <w:p w:rsidR="00693F84" w:rsidRPr="00426BD7" w:rsidRDefault="00693F84" w:rsidP="00693F84">
      <w:pPr>
        <w:tabs>
          <w:tab w:val="left" w:pos="1701"/>
        </w:tabs>
      </w:pPr>
      <w:r w:rsidRPr="00426BD7">
        <w:rPr>
          <w:b/>
        </w:rPr>
        <w:tab/>
      </w:r>
      <w:r w:rsidRPr="00426BD7">
        <w:t>4288</w:t>
      </w:r>
      <w:r w:rsidRPr="00426BD7">
        <w:tab/>
        <w:t>Täydentävän rahoituksen hankinta</w:t>
      </w:r>
    </w:p>
    <w:p w:rsidR="00693F84" w:rsidRPr="00426BD7" w:rsidRDefault="00693F84" w:rsidP="00693F84">
      <w:pPr>
        <w:tabs>
          <w:tab w:val="left" w:pos="1701"/>
        </w:tabs>
      </w:pPr>
      <w:r w:rsidRPr="00426BD7">
        <w:tab/>
        <w:t>428901</w:t>
      </w:r>
      <w:r w:rsidRPr="00426BD7">
        <w:tab/>
        <w:t>Hallinto- ja tukitoimet</w:t>
      </w:r>
    </w:p>
    <w:p w:rsidR="00693F84" w:rsidRPr="00426BD7" w:rsidRDefault="00693F84" w:rsidP="00693F84">
      <w:pPr>
        <w:tabs>
          <w:tab w:val="left" w:pos="1701"/>
        </w:tabs>
        <w:rPr>
          <w:b/>
        </w:rPr>
      </w:pPr>
      <w:r w:rsidRPr="00426BD7">
        <w:tab/>
        <w:t>428902</w:t>
      </w:r>
      <w:r w:rsidRPr="00426BD7">
        <w:tab/>
        <w:t>Oman ammattitaidon kehittäminen</w:t>
      </w:r>
    </w:p>
    <w:p w:rsidR="00693F84" w:rsidRPr="00426BD7" w:rsidRDefault="00693F84" w:rsidP="00693F84">
      <w:pPr>
        <w:tabs>
          <w:tab w:val="left" w:pos="1701"/>
        </w:tabs>
        <w:rPr>
          <w:b/>
        </w:rPr>
      </w:pPr>
    </w:p>
    <w:p w:rsidR="00426BD7" w:rsidRPr="00426BD7" w:rsidRDefault="00693F84" w:rsidP="00426BD7">
      <w:pPr>
        <w:tabs>
          <w:tab w:val="left" w:pos="1701"/>
        </w:tabs>
      </w:pPr>
      <w:r w:rsidRPr="00426BD7">
        <w:rPr>
          <w:b/>
        </w:rPr>
        <w:t>99 Hanketyöskentely</w:t>
      </w:r>
      <w:r w:rsidR="00426BD7" w:rsidRPr="00426BD7">
        <w:rPr>
          <w:b/>
        </w:rPr>
        <w:t xml:space="preserve"> (</w:t>
      </w:r>
      <w:r w:rsidR="00426BD7" w:rsidRPr="00426BD7">
        <w:t>Muutosta aikaisempaan on alajaottelu)</w:t>
      </w:r>
    </w:p>
    <w:p w:rsidR="00693F84" w:rsidRPr="00426BD7" w:rsidRDefault="00693F84" w:rsidP="00426BD7">
      <w:pPr>
        <w:tabs>
          <w:tab w:val="left" w:pos="1701"/>
        </w:tabs>
      </w:pPr>
      <w:r w:rsidRPr="00426BD7">
        <w:t xml:space="preserve">Alakohtina </w:t>
      </w:r>
      <w:r w:rsidR="0024645D" w:rsidRPr="00426BD7">
        <w:t xml:space="preserve">vastaavat </w:t>
      </w:r>
      <w:r w:rsidRPr="00426BD7">
        <w:t>koulutuksen, tutkimuksen ja yhteiskunnallisen toiminnan te</w:t>
      </w:r>
      <w:r w:rsidRPr="00426BD7">
        <w:t>h</w:t>
      </w:r>
      <w:r w:rsidRPr="00426BD7">
        <w:t>tävät</w:t>
      </w:r>
      <w:r w:rsidR="00952971" w:rsidRPr="00426BD7">
        <w:t>.</w:t>
      </w:r>
    </w:p>
    <w:p w:rsidR="00693F84" w:rsidRPr="00426BD7" w:rsidRDefault="00693F84" w:rsidP="00693F84">
      <w:pPr>
        <w:tabs>
          <w:tab w:val="left" w:pos="1701"/>
        </w:tabs>
        <w:rPr>
          <w:b/>
        </w:rPr>
      </w:pPr>
    </w:p>
    <w:p w:rsidR="00A96316" w:rsidRPr="00426BD7" w:rsidRDefault="00A96316" w:rsidP="00CA264D">
      <w:pPr>
        <w:tabs>
          <w:tab w:val="left" w:pos="2410"/>
        </w:tabs>
        <w:ind w:left="1304"/>
        <w:rPr>
          <w:b/>
        </w:rPr>
      </w:pPr>
    </w:p>
    <w:p w:rsidR="00263C50" w:rsidRPr="00426BD7" w:rsidRDefault="00263C50" w:rsidP="00A96316">
      <w:pPr>
        <w:tabs>
          <w:tab w:val="left" w:pos="2410"/>
        </w:tabs>
        <w:ind w:left="0"/>
      </w:pPr>
    </w:p>
    <w:p w:rsidR="00426BD7" w:rsidRDefault="00426BD7" w:rsidP="00A96316">
      <w:pPr>
        <w:tabs>
          <w:tab w:val="left" w:pos="2410"/>
        </w:tabs>
        <w:ind w:left="0"/>
        <w:rPr>
          <w:b/>
        </w:rPr>
      </w:pPr>
    </w:p>
    <w:p w:rsidR="00426BD7" w:rsidRDefault="00426BD7" w:rsidP="00A96316">
      <w:pPr>
        <w:tabs>
          <w:tab w:val="left" w:pos="2410"/>
        </w:tabs>
        <w:ind w:left="0"/>
        <w:rPr>
          <w:b/>
        </w:rPr>
      </w:pPr>
    </w:p>
    <w:p w:rsidR="00426BD7" w:rsidRDefault="00426BD7" w:rsidP="00A96316">
      <w:pPr>
        <w:tabs>
          <w:tab w:val="left" w:pos="2410"/>
        </w:tabs>
        <w:ind w:left="0"/>
        <w:rPr>
          <w:b/>
        </w:rPr>
      </w:pPr>
    </w:p>
    <w:p w:rsidR="00426BD7" w:rsidRDefault="00426BD7" w:rsidP="00A96316">
      <w:pPr>
        <w:tabs>
          <w:tab w:val="left" w:pos="2410"/>
        </w:tabs>
        <w:ind w:left="0"/>
        <w:rPr>
          <w:b/>
        </w:rPr>
      </w:pPr>
    </w:p>
    <w:p w:rsidR="00426BD7" w:rsidRDefault="00426BD7" w:rsidP="00A96316">
      <w:pPr>
        <w:tabs>
          <w:tab w:val="left" w:pos="2410"/>
        </w:tabs>
        <w:ind w:left="0"/>
        <w:rPr>
          <w:b/>
        </w:rPr>
      </w:pPr>
    </w:p>
    <w:p w:rsidR="00426BD7" w:rsidRDefault="00426BD7" w:rsidP="00A96316">
      <w:pPr>
        <w:tabs>
          <w:tab w:val="left" w:pos="2410"/>
        </w:tabs>
        <w:ind w:left="0"/>
        <w:rPr>
          <w:b/>
        </w:rPr>
      </w:pPr>
    </w:p>
    <w:p w:rsidR="00263C50" w:rsidRPr="00426BD7" w:rsidRDefault="00263C50" w:rsidP="00A96316">
      <w:pPr>
        <w:tabs>
          <w:tab w:val="left" w:pos="2410"/>
        </w:tabs>
        <w:ind w:left="0"/>
        <w:rPr>
          <w:b/>
          <w:sz w:val="28"/>
          <w:szCs w:val="28"/>
        </w:rPr>
      </w:pPr>
      <w:r w:rsidRPr="00426BD7">
        <w:rPr>
          <w:b/>
          <w:sz w:val="28"/>
          <w:szCs w:val="28"/>
        </w:rPr>
        <w:t>Työsuunnitelman teko henkilöryhmittäin</w:t>
      </w:r>
    </w:p>
    <w:p w:rsidR="00263C50" w:rsidRPr="00426BD7" w:rsidRDefault="00263C50" w:rsidP="00A96316">
      <w:pPr>
        <w:tabs>
          <w:tab w:val="left" w:pos="2410"/>
        </w:tabs>
        <w:ind w:left="0"/>
        <w:rPr>
          <w:b/>
        </w:rPr>
      </w:pPr>
    </w:p>
    <w:p w:rsidR="00263C50" w:rsidRPr="00426BD7" w:rsidRDefault="000D0A75" w:rsidP="00A96316">
      <w:pPr>
        <w:tabs>
          <w:tab w:val="left" w:pos="2410"/>
        </w:tabs>
        <w:ind w:left="0"/>
        <w:rPr>
          <w:b/>
        </w:rPr>
      </w:pPr>
      <w:r w:rsidRPr="00426BD7">
        <w:rPr>
          <w:b/>
        </w:rPr>
        <w:t xml:space="preserve">Opetushenkilöstö ja </w:t>
      </w:r>
      <w:proofErr w:type="gramStart"/>
      <w:r w:rsidRPr="00426BD7">
        <w:rPr>
          <w:b/>
        </w:rPr>
        <w:t xml:space="preserve">tutkimushenkilöstö, </w:t>
      </w:r>
      <w:r w:rsidR="00263C50" w:rsidRPr="00426BD7">
        <w:rPr>
          <w:b/>
        </w:rPr>
        <w:t xml:space="preserve"> perusrahoitteinen</w:t>
      </w:r>
      <w:proofErr w:type="gramEnd"/>
      <w:r w:rsidR="00263C50" w:rsidRPr="00426BD7">
        <w:rPr>
          <w:b/>
        </w:rPr>
        <w:tab/>
      </w:r>
    </w:p>
    <w:p w:rsidR="00263C50" w:rsidRPr="00426BD7" w:rsidRDefault="00263C50" w:rsidP="00A96316">
      <w:pPr>
        <w:tabs>
          <w:tab w:val="left" w:pos="2410"/>
        </w:tabs>
        <w:ind w:left="1106"/>
      </w:pPr>
      <w:r w:rsidRPr="00426BD7">
        <w:t xml:space="preserve">Suunnitelma tehdään tehtäville </w:t>
      </w:r>
      <w:proofErr w:type="gramStart"/>
      <w:r w:rsidRPr="00426BD7">
        <w:t>11-42</w:t>
      </w:r>
      <w:proofErr w:type="gramEnd"/>
      <w:r w:rsidRPr="00426BD7">
        <w:t>, suunnitellut tunnit sii</w:t>
      </w:r>
      <w:r w:rsidR="00A96316" w:rsidRPr="00426BD7">
        <w:t>rtyvät</w:t>
      </w:r>
      <w:r w:rsidRPr="00426BD7">
        <w:t xml:space="preserve"> toteutumiksi </w:t>
      </w:r>
      <w:r w:rsidR="00A96316" w:rsidRPr="00426BD7">
        <w:t>(</w:t>
      </w:r>
      <w:proofErr w:type="spellStart"/>
      <w:r w:rsidR="00A96316" w:rsidRPr="00426BD7">
        <w:t>keskim</w:t>
      </w:r>
      <w:proofErr w:type="spellEnd"/>
      <w:r w:rsidR="00A96316" w:rsidRPr="00426BD7">
        <w:t xml:space="preserve">. kk-tunneiksi) </w:t>
      </w:r>
      <w:r w:rsidRPr="00426BD7">
        <w:t>halu</w:t>
      </w:r>
      <w:r w:rsidR="00A96316" w:rsidRPr="00426BD7">
        <w:t xml:space="preserve">tulle perusrahoituksen </w:t>
      </w:r>
      <w:proofErr w:type="spellStart"/>
      <w:r w:rsidR="00A96316" w:rsidRPr="00426BD7">
        <w:t>wbs:lle</w:t>
      </w:r>
      <w:proofErr w:type="spellEnd"/>
      <w:r w:rsidR="00A96316" w:rsidRPr="00426BD7">
        <w:t xml:space="preserve"> kun suunnitelmat va</w:t>
      </w:r>
      <w:r w:rsidR="00A96316" w:rsidRPr="00426BD7">
        <w:t>h</w:t>
      </w:r>
      <w:r w:rsidR="00A96316" w:rsidRPr="00426BD7">
        <w:t>vistetaan.</w:t>
      </w:r>
    </w:p>
    <w:p w:rsidR="00263C50" w:rsidRPr="00426BD7" w:rsidRDefault="00263C50" w:rsidP="00A96316">
      <w:pPr>
        <w:tabs>
          <w:tab w:val="left" w:pos="2410"/>
        </w:tabs>
        <w:ind w:left="1106"/>
      </w:pPr>
      <w:r w:rsidRPr="00426BD7">
        <w:t>Mahdollinen täydentävään rahoitukseen tehtävä työ suunnitellaan 99-alkuisille tehtävi</w:t>
      </w:r>
      <w:r w:rsidRPr="00426BD7">
        <w:t>l</w:t>
      </w:r>
      <w:r w:rsidRPr="00426BD7">
        <w:t xml:space="preserve">le. </w:t>
      </w:r>
      <w:r w:rsidRPr="00426BD7">
        <w:rPr>
          <w:b/>
        </w:rPr>
        <w:t xml:space="preserve">Nämä tunnit </w:t>
      </w:r>
      <w:r w:rsidR="00A96316" w:rsidRPr="00426BD7">
        <w:rPr>
          <w:b/>
        </w:rPr>
        <w:t>eivät siirry suunnitelmasta.</w:t>
      </w:r>
      <w:r w:rsidR="00A96316" w:rsidRPr="00426BD7">
        <w:t xml:space="preserve"> Tunnit </w:t>
      </w:r>
      <w:r w:rsidRPr="00426BD7">
        <w:t xml:space="preserve">kohdennetaan </w:t>
      </w:r>
      <w:r w:rsidR="00426BD7">
        <w:t xml:space="preserve">Soleen </w:t>
      </w:r>
      <w:r w:rsidRPr="00426BD7">
        <w:t>toteutumien mukaan pitkin vuotta.</w:t>
      </w:r>
    </w:p>
    <w:p w:rsidR="00263C50" w:rsidRPr="00426BD7" w:rsidRDefault="00263C50" w:rsidP="00A96316">
      <w:pPr>
        <w:tabs>
          <w:tab w:val="left" w:pos="2410"/>
        </w:tabs>
        <w:ind w:left="1106"/>
      </w:pPr>
    </w:p>
    <w:p w:rsidR="00263C50" w:rsidRPr="00426BD7" w:rsidRDefault="00263C50" w:rsidP="00A96316">
      <w:pPr>
        <w:tabs>
          <w:tab w:val="left" w:pos="2410"/>
        </w:tabs>
        <w:ind w:left="0"/>
        <w:rPr>
          <w:b/>
        </w:rPr>
      </w:pPr>
      <w:r w:rsidRPr="00426BD7">
        <w:rPr>
          <w:b/>
        </w:rPr>
        <w:t>Opetushenkilöstö, täydentävä rahoitus</w:t>
      </w:r>
    </w:p>
    <w:p w:rsidR="009E1F05" w:rsidRPr="00426BD7" w:rsidRDefault="00426BD7" w:rsidP="00A96316">
      <w:pPr>
        <w:tabs>
          <w:tab w:val="left" w:pos="2410"/>
        </w:tabs>
        <w:ind w:left="1106"/>
      </w:pPr>
      <w:r w:rsidRPr="00426BD7">
        <w:rPr>
          <w:b/>
        </w:rPr>
        <w:t>Huom. Tätä tapaa ei voida käyttää muuta kuin lahjoitusprofessuurien ja muiden va</w:t>
      </w:r>
      <w:r w:rsidRPr="00426BD7">
        <w:rPr>
          <w:b/>
        </w:rPr>
        <w:t>s</w:t>
      </w:r>
      <w:r w:rsidRPr="00426BD7">
        <w:rPr>
          <w:b/>
        </w:rPr>
        <w:t>taavien osalta.</w:t>
      </w:r>
      <w:r>
        <w:t xml:space="preserve"> T</w:t>
      </w:r>
      <w:r w:rsidR="00263C50" w:rsidRPr="00426BD7">
        <w:t xml:space="preserve">unnit täytyy saada täydentävän rahoituksen </w:t>
      </w:r>
      <w:proofErr w:type="spellStart"/>
      <w:r w:rsidR="00263C50" w:rsidRPr="00426BD7">
        <w:t>wbs</w:t>
      </w:r>
      <w:r w:rsidR="009E1F05" w:rsidRPr="00426BD7">
        <w:t>:lle</w:t>
      </w:r>
      <w:proofErr w:type="spellEnd"/>
      <w:r w:rsidR="009E1F05" w:rsidRPr="00426BD7">
        <w:t xml:space="preserve"> rahoituksen käytön takia, mutta työ ei kohdistu varsinaiseen tutkimusprojektiin. Suunnitelma voidaan tehdä tehtäville </w:t>
      </w:r>
      <w:proofErr w:type="gramStart"/>
      <w:r w:rsidR="009E1F05" w:rsidRPr="00426BD7">
        <w:t>11-42</w:t>
      </w:r>
      <w:proofErr w:type="gramEnd"/>
      <w:r w:rsidR="009E1F05" w:rsidRPr="00426BD7">
        <w:t>, ja suunnitellut tunnit voidaan siirtää tote</w:t>
      </w:r>
      <w:r w:rsidR="009E1F05" w:rsidRPr="00426BD7">
        <w:t>u</w:t>
      </w:r>
      <w:r w:rsidR="009E1F05" w:rsidRPr="00426BD7">
        <w:t xml:space="preserve">tumiksi </w:t>
      </w:r>
      <w:proofErr w:type="spellStart"/>
      <w:r w:rsidR="009E1F05" w:rsidRPr="00426BD7">
        <w:t>wbs:ille</w:t>
      </w:r>
      <w:proofErr w:type="spellEnd"/>
      <w:r w:rsidR="009E1F05" w:rsidRPr="00426BD7">
        <w:t xml:space="preserve">. </w:t>
      </w:r>
    </w:p>
    <w:p w:rsidR="009E1F05" w:rsidRPr="00426BD7" w:rsidRDefault="009E1F05" w:rsidP="00A96316">
      <w:pPr>
        <w:tabs>
          <w:tab w:val="left" w:pos="2410"/>
        </w:tabs>
        <w:ind w:left="1106"/>
      </w:pPr>
    </w:p>
    <w:p w:rsidR="009E1F05" w:rsidRPr="00426BD7" w:rsidRDefault="00F801BC" w:rsidP="00A96316">
      <w:pPr>
        <w:tabs>
          <w:tab w:val="left" w:pos="2410"/>
        </w:tabs>
        <w:ind w:left="0"/>
        <w:rPr>
          <w:b/>
        </w:rPr>
      </w:pPr>
      <w:r w:rsidRPr="00426BD7">
        <w:rPr>
          <w:b/>
        </w:rPr>
        <w:t>Tutkimushenkilöstö, Suomen Akatemian rahoitus</w:t>
      </w:r>
    </w:p>
    <w:p w:rsidR="00F801BC" w:rsidRPr="00426BD7" w:rsidRDefault="00F801BC" w:rsidP="00A96316">
      <w:pPr>
        <w:tabs>
          <w:tab w:val="left" w:pos="2410"/>
        </w:tabs>
        <w:ind w:left="1106"/>
      </w:pPr>
      <w:r w:rsidRPr="00426BD7">
        <w:t>Suomen Akatemia projekteilla työskentelevät voivat käyttää 5 % työajastaan opetu</w:t>
      </w:r>
      <w:r w:rsidRPr="00426BD7">
        <w:t>k</w:t>
      </w:r>
      <w:r w:rsidRPr="00426BD7">
        <w:t>seen. Jotta rahoitus tulee käytettyä täysimääräisenä, on helpointa suunnitella koko ty</w:t>
      </w:r>
      <w:r w:rsidRPr="00426BD7">
        <w:t>ö</w:t>
      </w:r>
      <w:r w:rsidRPr="00426BD7">
        <w:t>aika tehtävän 99, Hanketyöskentely alle. Tällöin mitään tunteja ei siirretä valmiiksi t</w:t>
      </w:r>
      <w:r w:rsidRPr="00426BD7">
        <w:t>o</w:t>
      </w:r>
      <w:r w:rsidRPr="00426BD7">
        <w:t xml:space="preserve">teutumaksi, vaan koko työaika kohdennetaan </w:t>
      </w:r>
      <w:r w:rsidR="00952971" w:rsidRPr="00426BD7">
        <w:t>projektille, kuten tähä</w:t>
      </w:r>
      <w:r w:rsidR="00952971" w:rsidRPr="00426BD7">
        <w:t>n</w:t>
      </w:r>
      <w:r w:rsidR="00952971" w:rsidRPr="00426BD7">
        <w:t>kin asti.</w:t>
      </w:r>
    </w:p>
    <w:p w:rsidR="00952971" w:rsidRPr="00426BD7" w:rsidRDefault="00952971" w:rsidP="00A96316">
      <w:pPr>
        <w:tabs>
          <w:tab w:val="left" w:pos="2410"/>
        </w:tabs>
        <w:ind w:left="1106"/>
      </w:pPr>
    </w:p>
    <w:p w:rsidR="00952971" w:rsidRPr="00426BD7" w:rsidRDefault="00952971" w:rsidP="00A96316">
      <w:pPr>
        <w:tabs>
          <w:tab w:val="left" w:pos="2410"/>
        </w:tabs>
        <w:ind w:left="1106"/>
      </w:pPr>
      <w:r w:rsidRPr="00426BD7">
        <w:t xml:space="preserve">On myös mahdollista suunnitella osa työajasta tulosyksikön alle, tehtäville </w:t>
      </w:r>
      <w:proofErr w:type="gramStart"/>
      <w:r w:rsidRPr="00426BD7">
        <w:t>11-42</w:t>
      </w:r>
      <w:proofErr w:type="gramEnd"/>
      <w:r w:rsidRPr="00426BD7">
        <w:t>. Tällöin kuitenkaan palkkakustannus ei kohdistu projektille täysimääräisenä.</w:t>
      </w:r>
    </w:p>
    <w:p w:rsidR="00952971" w:rsidRPr="00426BD7" w:rsidRDefault="00952971" w:rsidP="00A96316">
      <w:pPr>
        <w:tabs>
          <w:tab w:val="left" w:pos="2410"/>
        </w:tabs>
        <w:ind w:left="1106"/>
      </w:pPr>
    </w:p>
    <w:p w:rsidR="00952971" w:rsidRPr="00426BD7" w:rsidRDefault="00952971" w:rsidP="00A96316">
      <w:pPr>
        <w:tabs>
          <w:tab w:val="left" w:pos="2410"/>
        </w:tabs>
        <w:ind w:left="0"/>
        <w:rPr>
          <w:b/>
        </w:rPr>
      </w:pPr>
      <w:r w:rsidRPr="00426BD7">
        <w:rPr>
          <w:b/>
        </w:rPr>
        <w:t xml:space="preserve">Tutkimushenkilöstö, Tekes-rahoitus </w:t>
      </w:r>
    </w:p>
    <w:p w:rsidR="00952971" w:rsidRPr="00426BD7" w:rsidRDefault="00952971" w:rsidP="00A96316">
      <w:pPr>
        <w:tabs>
          <w:tab w:val="left" w:pos="2410"/>
        </w:tabs>
        <w:ind w:left="1106"/>
      </w:pPr>
      <w:r w:rsidRPr="00426BD7">
        <w:rPr>
          <w:i/>
        </w:rPr>
        <w:t>Tekes ei rahoita missään tapauksessa koulutusta</w:t>
      </w:r>
      <w:r w:rsidRPr="00426BD7">
        <w:t xml:space="preserve">. Tämän takia koulutukseen käytettävä työaika on suunniteltava tulosyksikön alle tehtävälle 11. </w:t>
      </w:r>
    </w:p>
    <w:p w:rsidR="00952971" w:rsidRPr="00426BD7" w:rsidRDefault="00952971" w:rsidP="00A96316">
      <w:pPr>
        <w:tabs>
          <w:tab w:val="left" w:pos="2410"/>
        </w:tabs>
        <w:ind w:left="1106"/>
      </w:pPr>
    </w:p>
    <w:p w:rsidR="00952971" w:rsidRPr="00426BD7" w:rsidRDefault="00952971" w:rsidP="00A96316">
      <w:pPr>
        <w:tabs>
          <w:tab w:val="left" w:pos="2410"/>
        </w:tabs>
        <w:ind w:left="0"/>
        <w:rPr>
          <w:b/>
        </w:rPr>
      </w:pPr>
      <w:r w:rsidRPr="00426BD7">
        <w:rPr>
          <w:b/>
        </w:rPr>
        <w:t>Tutkimushenkilöstö, EU-rahoitus</w:t>
      </w:r>
    </w:p>
    <w:p w:rsidR="00263C50" w:rsidRPr="00426BD7" w:rsidRDefault="00952971" w:rsidP="00A96316">
      <w:pPr>
        <w:tabs>
          <w:tab w:val="left" w:pos="2410"/>
        </w:tabs>
        <w:ind w:left="1106"/>
      </w:pPr>
      <w:r w:rsidRPr="00426BD7">
        <w:t>EU-projektien osalta on syytä varmistaa kansainvälisen rahoituksen ryhmästä, saako projektille kohdistua opetusta. Muussa tapauksessa opetustyö on suunniteltava tulosy</w:t>
      </w:r>
      <w:r w:rsidRPr="00426BD7">
        <w:t>k</w:t>
      </w:r>
      <w:r w:rsidRPr="00426BD7">
        <w:t>sikön alle, tehtävälle 11.</w:t>
      </w:r>
    </w:p>
    <w:p w:rsidR="00952971" w:rsidRPr="00426BD7" w:rsidRDefault="00952971" w:rsidP="00A96316">
      <w:pPr>
        <w:tabs>
          <w:tab w:val="left" w:pos="2410"/>
        </w:tabs>
        <w:ind w:left="1106"/>
      </w:pPr>
    </w:p>
    <w:p w:rsidR="00952971" w:rsidRPr="00426BD7" w:rsidRDefault="00952971" w:rsidP="00A96316">
      <w:pPr>
        <w:tabs>
          <w:tab w:val="left" w:pos="2410"/>
        </w:tabs>
        <w:ind w:left="0"/>
        <w:rPr>
          <w:b/>
        </w:rPr>
      </w:pPr>
      <w:r w:rsidRPr="00426BD7">
        <w:rPr>
          <w:b/>
        </w:rPr>
        <w:t>Muut rahoittajat</w:t>
      </w:r>
    </w:p>
    <w:p w:rsidR="00990B7A" w:rsidRDefault="00952971" w:rsidP="00A96316">
      <w:pPr>
        <w:tabs>
          <w:tab w:val="left" w:pos="2410"/>
        </w:tabs>
        <w:ind w:left="1106"/>
      </w:pPr>
      <w:r w:rsidRPr="00426BD7">
        <w:t>Rahoittajakohtaisesti on varmistuttava siitä, voidaanko projektirahoituksella antaa op</w:t>
      </w:r>
      <w:r w:rsidRPr="00426BD7">
        <w:t>e</w:t>
      </w:r>
      <w:r w:rsidRPr="00426BD7">
        <w:t>tusta.</w:t>
      </w:r>
      <w:r w:rsidR="00990B7A">
        <w:t xml:space="preserve"> </w:t>
      </w:r>
    </w:p>
    <w:p w:rsidR="00990B7A" w:rsidRDefault="00990B7A" w:rsidP="00A96316">
      <w:pPr>
        <w:tabs>
          <w:tab w:val="left" w:pos="2410"/>
        </w:tabs>
        <w:ind w:left="1106"/>
      </w:pPr>
    </w:p>
    <w:p w:rsidR="00952971" w:rsidRPr="00990B7A" w:rsidRDefault="00952971" w:rsidP="00A96316">
      <w:pPr>
        <w:tabs>
          <w:tab w:val="left" w:pos="2410"/>
        </w:tabs>
        <w:ind w:left="1106"/>
        <w:rPr>
          <w:b/>
          <w:highlight w:val="yellow"/>
        </w:rPr>
      </w:pPr>
      <w:r w:rsidRPr="00990B7A">
        <w:rPr>
          <w:b/>
          <w:highlight w:val="yellow"/>
        </w:rPr>
        <w:t xml:space="preserve">HUOM! </w:t>
      </w:r>
    </w:p>
    <w:p w:rsidR="00952971" w:rsidRPr="00426BD7" w:rsidRDefault="00952971" w:rsidP="00A96316">
      <w:pPr>
        <w:tabs>
          <w:tab w:val="left" w:pos="2410"/>
        </w:tabs>
        <w:ind w:left="1106"/>
      </w:pPr>
      <w:r w:rsidRPr="00990B7A">
        <w:rPr>
          <w:highlight w:val="yellow"/>
        </w:rPr>
        <w:t xml:space="preserve">Jos osa työajasta suunnitellaan tehtäville </w:t>
      </w:r>
      <w:proofErr w:type="gramStart"/>
      <w:r w:rsidRPr="00990B7A">
        <w:rPr>
          <w:highlight w:val="yellow"/>
        </w:rPr>
        <w:t>11-42</w:t>
      </w:r>
      <w:proofErr w:type="gramEnd"/>
      <w:r w:rsidRPr="00990B7A">
        <w:rPr>
          <w:highlight w:val="yellow"/>
        </w:rPr>
        <w:t>, tarkoittaa se sitä, että vastaava osuus palkkakustannuksesta kohdistuu tulosyksikön perusrahoitukseen. Jotta varmistetaan se, että kaikki myönnetty rahoitus tulee käytettyä, on näissä tapauksissa kohdennettava projektille vastaava määrä muuta työpanosta.</w:t>
      </w:r>
    </w:p>
    <w:p w:rsidR="00263C50" w:rsidRPr="00426BD7" w:rsidRDefault="00263C50" w:rsidP="00A96316">
      <w:pPr>
        <w:tabs>
          <w:tab w:val="left" w:pos="1560"/>
        </w:tabs>
        <w:ind w:left="0"/>
      </w:pPr>
    </w:p>
    <w:sectPr w:rsidR="00263C50" w:rsidRPr="00426BD7" w:rsidSect="00426BD7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3C8"/>
    <w:multiLevelType w:val="hybridMultilevel"/>
    <w:tmpl w:val="DA6C0C80"/>
    <w:lvl w:ilvl="0" w:tplc="040B000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1">
    <w:nsid w:val="2CD34C76"/>
    <w:multiLevelType w:val="hybridMultilevel"/>
    <w:tmpl w:val="20E6817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3E13167F"/>
    <w:multiLevelType w:val="hybridMultilevel"/>
    <w:tmpl w:val="57FE26B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458F4395"/>
    <w:multiLevelType w:val="hybridMultilevel"/>
    <w:tmpl w:val="B8D0A48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240B4E"/>
    <w:multiLevelType w:val="hybridMultilevel"/>
    <w:tmpl w:val="E5BC0DC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82286F"/>
    <w:multiLevelType w:val="hybridMultilevel"/>
    <w:tmpl w:val="675EF1F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31296"/>
    <w:multiLevelType w:val="hybridMultilevel"/>
    <w:tmpl w:val="554826C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6322A6"/>
    <w:multiLevelType w:val="hybridMultilevel"/>
    <w:tmpl w:val="E9283472"/>
    <w:lvl w:ilvl="0" w:tplc="040B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autoHyphenation/>
  <w:hyphenationZone w:val="425"/>
  <w:characterSpacingControl w:val="doNotCompress"/>
  <w:compat/>
  <w:rsids>
    <w:rsidRoot w:val="00384C99"/>
    <w:rsid w:val="000D0A75"/>
    <w:rsid w:val="0024645D"/>
    <w:rsid w:val="00263C50"/>
    <w:rsid w:val="00384C99"/>
    <w:rsid w:val="00426BD7"/>
    <w:rsid w:val="00693F84"/>
    <w:rsid w:val="008309FF"/>
    <w:rsid w:val="008A2572"/>
    <w:rsid w:val="00952971"/>
    <w:rsid w:val="00990B7A"/>
    <w:rsid w:val="00992229"/>
    <w:rsid w:val="009B2F20"/>
    <w:rsid w:val="009E1F05"/>
    <w:rsid w:val="00A96316"/>
    <w:rsid w:val="00BB61AC"/>
    <w:rsid w:val="00CA264D"/>
    <w:rsid w:val="00D3230B"/>
    <w:rsid w:val="00E862C4"/>
    <w:rsid w:val="00F8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4C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4C99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ma.helsinki.fi/doclink/1841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31C9-733D-4B24-B9E7-D0B7051D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leisioli</dc:creator>
  <cp:keywords/>
  <dc:description/>
  <cp:lastModifiedBy>hkahlos</cp:lastModifiedBy>
  <cp:revision>4</cp:revision>
  <dcterms:created xsi:type="dcterms:W3CDTF">2010-08-26T08:04:00Z</dcterms:created>
  <dcterms:modified xsi:type="dcterms:W3CDTF">2010-08-26T08:15:00Z</dcterms:modified>
</cp:coreProperties>
</file>